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20F36" w14:textId="77777777" w:rsidR="00306653" w:rsidRDefault="00306653" w:rsidP="00306653">
      <w:pPr>
        <w:pStyle w:val="Heading1"/>
        <w:spacing w:before="0"/>
      </w:pPr>
    </w:p>
    <w:p w14:paraId="6EC9647D" w14:textId="77777777" w:rsidR="00306653" w:rsidRDefault="00306653" w:rsidP="00306653">
      <w:pPr>
        <w:pStyle w:val="Heading1"/>
        <w:spacing w:before="0"/>
      </w:pPr>
    </w:p>
    <w:p w14:paraId="7CFE9D2A" w14:textId="4C9E44FC" w:rsidR="00B52F77" w:rsidRPr="00306653" w:rsidRDefault="00306653" w:rsidP="00306653">
      <w:pPr>
        <w:pStyle w:val="Heading1"/>
        <w:spacing w:before="0"/>
      </w:pPr>
      <w:r w:rsidRPr="00306653">
        <w:t>From Advocacy to Action: Lessons From 30 Years of the NYSOTA Mental Health Task Force</w:t>
      </w:r>
    </w:p>
    <w:p w14:paraId="68A87341" w14:textId="77777777" w:rsidR="00306653" w:rsidRPr="00306653" w:rsidRDefault="00306653" w:rsidP="00306653">
      <w:pPr>
        <w:spacing w:line="480" w:lineRule="auto"/>
        <w:rPr>
          <w:rFonts w:ascii="Times New Roman" w:hAnsi="Times New Roman" w:cs="Times New Roman"/>
        </w:rPr>
      </w:pPr>
    </w:p>
    <w:p w14:paraId="598FE68D" w14:textId="09CF16C0" w:rsidR="00306653" w:rsidRPr="00306653" w:rsidRDefault="00306653" w:rsidP="00306653">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Cristina Dumitrescu, EdD, MS, OTR/L; Laurie </w:t>
      </w:r>
      <w:proofErr w:type="spellStart"/>
      <w:r w:rsidRPr="00306653">
        <w:rPr>
          <w:rFonts w:ascii="Times New Roman" w:hAnsi="Times New Roman" w:cs="Times New Roman"/>
          <w:sz w:val="24"/>
          <w:szCs w:val="24"/>
        </w:rPr>
        <w:t>Knis</w:t>
      </w:r>
      <w:proofErr w:type="spellEnd"/>
      <w:r w:rsidRPr="00306653">
        <w:rPr>
          <w:rFonts w:ascii="Times New Roman" w:hAnsi="Times New Roman" w:cs="Times New Roman"/>
          <w:sz w:val="24"/>
          <w:szCs w:val="24"/>
        </w:rPr>
        <w:t>-Matthews, PhD, OTR; Emily Raphael-Greenfield, EdD, OTR/L, FAOTA; and Anne Hiller Scott, PhD, OTR/L, FAOTA</w:t>
      </w:r>
    </w:p>
    <w:p w14:paraId="72FC04CC" w14:textId="77777777" w:rsidR="00306653" w:rsidRPr="00306653" w:rsidRDefault="00306653" w:rsidP="00306653">
      <w:pPr>
        <w:spacing w:after="0" w:line="480" w:lineRule="auto"/>
        <w:rPr>
          <w:rFonts w:ascii="Times New Roman" w:hAnsi="Times New Roman" w:cs="Times New Roman"/>
          <w:sz w:val="24"/>
          <w:szCs w:val="24"/>
        </w:rPr>
      </w:pPr>
    </w:p>
    <w:p w14:paraId="40CB8682" w14:textId="77777777" w:rsidR="00306653" w:rsidRPr="00306653" w:rsidRDefault="00306653" w:rsidP="00306653">
      <w:pPr>
        <w:spacing w:after="0" w:line="480" w:lineRule="auto"/>
        <w:rPr>
          <w:rFonts w:ascii="Times New Roman" w:hAnsi="Times New Roman" w:cs="Times New Roman"/>
          <w:sz w:val="24"/>
          <w:szCs w:val="24"/>
        </w:rPr>
      </w:pPr>
    </w:p>
    <w:p w14:paraId="2D52DB61" w14:textId="4950EE1C" w:rsidR="00306653" w:rsidRPr="00306653" w:rsidRDefault="00306653" w:rsidP="00306653">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Author Biographical Notes</w:t>
      </w:r>
    </w:p>
    <w:p w14:paraId="5EB6DE72" w14:textId="77777777" w:rsidR="00306653" w:rsidRPr="00306653" w:rsidRDefault="00306653" w:rsidP="00306653">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Cristina Dumitrescu, EdD, MS, OTR/L, is Clinical Assistant Professor and Director of the Division of Occupational Therapy at Binghamton University, Binghamton, New York.</w:t>
      </w:r>
    </w:p>
    <w:p w14:paraId="2880A853" w14:textId="77777777" w:rsidR="00306653" w:rsidRPr="00306653" w:rsidRDefault="00306653" w:rsidP="00306653">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Laurie </w:t>
      </w:r>
      <w:proofErr w:type="spellStart"/>
      <w:r w:rsidRPr="00306653">
        <w:rPr>
          <w:rFonts w:ascii="Times New Roman" w:hAnsi="Times New Roman" w:cs="Times New Roman"/>
          <w:sz w:val="24"/>
          <w:szCs w:val="24"/>
        </w:rPr>
        <w:t>Knis</w:t>
      </w:r>
      <w:proofErr w:type="spellEnd"/>
      <w:r w:rsidRPr="00306653">
        <w:rPr>
          <w:rFonts w:ascii="Times New Roman" w:hAnsi="Times New Roman" w:cs="Times New Roman"/>
          <w:sz w:val="24"/>
          <w:szCs w:val="24"/>
        </w:rPr>
        <w:t>-Matthews, PhD, OTR, is Professor in the Department of Occupational Therapy at Kean University, Union, New Jersey.</w:t>
      </w:r>
    </w:p>
    <w:p w14:paraId="6AC63F55" w14:textId="77777777" w:rsidR="00306653" w:rsidRPr="00306653" w:rsidRDefault="00306653" w:rsidP="00306653">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Emily Raphael-Greenfield, EdD, OTR/L, FAOTA, is a special lecturer in the Programs in Occupational Therapy at Columbia University, New York, New York.</w:t>
      </w:r>
    </w:p>
    <w:p w14:paraId="52788F26" w14:textId="233E22F2" w:rsidR="00306653" w:rsidRPr="00306653" w:rsidRDefault="00306653" w:rsidP="00306653">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Anne Hiller Scott, PhD, OTR/L, FAOTA, is a retired occupational therapy educator and a founding leader of the NYSOTA Mental Health Task Force in New York, New York.</w:t>
      </w:r>
    </w:p>
    <w:p w14:paraId="0A2891EE" w14:textId="77777777" w:rsidR="007B00ED" w:rsidRDefault="007B00ED" w:rsidP="007B00ED">
      <w:pPr>
        <w:spacing w:line="480" w:lineRule="auto"/>
        <w:rPr>
          <w:rFonts w:ascii="Times New Roman" w:hAnsi="Times New Roman" w:cs="Times New Roman"/>
        </w:rPr>
      </w:pPr>
    </w:p>
    <w:p w14:paraId="7702454D" w14:textId="77777777" w:rsidR="007B00ED" w:rsidRDefault="007B00ED" w:rsidP="007B00ED">
      <w:pPr>
        <w:spacing w:line="480" w:lineRule="auto"/>
        <w:rPr>
          <w:rFonts w:ascii="Times New Roman" w:hAnsi="Times New Roman" w:cs="Times New Roman"/>
        </w:rPr>
      </w:pPr>
    </w:p>
    <w:p w14:paraId="30441E52" w14:textId="77777777" w:rsidR="007B00ED" w:rsidRDefault="007B00ED" w:rsidP="007B00ED">
      <w:pPr>
        <w:spacing w:line="480" w:lineRule="auto"/>
        <w:rPr>
          <w:rFonts w:ascii="Times New Roman" w:hAnsi="Times New Roman" w:cs="Times New Roman"/>
        </w:rPr>
      </w:pPr>
    </w:p>
    <w:p w14:paraId="3D5FB696" w14:textId="77777777" w:rsidR="007B00ED" w:rsidRDefault="007B00ED" w:rsidP="007B00ED">
      <w:pPr>
        <w:spacing w:line="480" w:lineRule="auto"/>
        <w:rPr>
          <w:rFonts w:ascii="Times New Roman" w:hAnsi="Times New Roman" w:cs="Times New Roman"/>
        </w:rPr>
      </w:pPr>
    </w:p>
    <w:p w14:paraId="0C375AF7" w14:textId="5A5F8590" w:rsidR="00306653" w:rsidRPr="003E06A7" w:rsidRDefault="007B00ED" w:rsidP="007B00ED">
      <w:pPr>
        <w:spacing w:line="480" w:lineRule="auto"/>
        <w:rPr>
          <w:rFonts w:ascii="Times New Roman" w:hAnsi="Times New Roman" w:cs="Times New Roman"/>
          <w:sz w:val="24"/>
          <w:szCs w:val="24"/>
        </w:rPr>
      </w:pPr>
      <w:r w:rsidRPr="003E06A7">
        <w:rPr>
          <w:rFonts w:ascii="Times New Roman" w:hAnsi="Times New Roman" w:cs="Times New Roman"/>
          <w:sz w:val="24"/>
          <w:szCs w:val="24"/>
        </w:rPr>
        <w:lastRenderedPageBreak/>
        <w:t xml:space="preserve">Abstract: This historical practice and advocacy article draws lessons from the </w:t>
      </w:r>
      <w:r w:rsidR="00D6340B" w:rsidRPr="003E06A7">
        <w:rPr>
          <w:rFonts w:ascii="Times New Roman" w:hAnsi="Times New Roman" w:cs="Times New Roman"/>
          <w:sz w:val="24"/>
          <w:szCs w:val="24"/>
        </w:rPr>
        <w:t>Mental Health Task Force (</w:t>
      </w:r>
      <w:r w:rsidRPr="003E06A7">
        <w:rPr>
          <w:rFonts w:ascii="Times New Roman" w:hAnsi="Times New Roman" w:cs="Times New Roman"/>
          <w:sz w:val="24"/>
          <w:szCs w:val="24"/>
        </w:rPr>
        <w:t>MHTF</w:t>
      </w:r>
      <w:r w:rsidR="00D6340B" w:rsidRPr="003E06A7">
        <w:rPr>
          <w:rFonts w:ascii="Times New Roman" w:hAnsi="Times New Roman" w:cs="Times New Roman"/>
          <w:sz w:val="24"/>
          <w:szCs w:val="24"/>
        </w:rPr>
        <w:t>)</w:t>
      </w:r>
      <w:r w:rsidRPr="003E06A7">
        <w:rPr>
          <w:rFonts w:ascii="Times New Roman" w:hAnsi="Times New Roman" w:cs="Times New Roman"/>
          <w:sz w:val="24"/>
          <w:szCs w:val="24"/>
        </w:rPr>
        <w:t xml:space="preserve"> experience and translates them into six actions that other occupational therapy groups may adapt to their own settings. The narrative reflects selected NYSOTA anniversary materials, cited publications, and the perspectives of contributors involved in the task force. The six actions are an author-developed synthesis of these examples, not findings from a formal empirical study. The account covers the 30-year period from 1995 through 2025.</w:t>
      </w:r>
    </w:p>
    <w:p w14:paraId="69E1E7FA" w14:textId="77777777" w:rsidR="007B00ED" w:rsidRPr="003E06A7" w:rsidRDefault="007B00ED" w:rsidP="008A2AB4">
      <w:pPr>
        <w:spacing w:line="480" w:lineRule="auto"/>
        <w:rPr>
          <w:rFonts w:ascii="Times New Roman" w:hAnsi="Times New Roman" w:cs="Times New Roman"/>
          <w:sz w:val="24"/>
          <w:szCs w:val="24"/>
        </w:rPr>
      </w:pPr>
      <w:r w:rsidRPr="003E06A7">
        <w:rPr>
          <w:rFonts w:ascii="Times New Roman" w:hAnsi="Times New Roman" w:cs="Times New Roman"/>
          <w:sz w:val="24"/>
          <w:szCs w:val="24"/>
        </w:rPr>
        <w:t>Keywords: occupational therapy; mental health; advocacy; workforce development; professional mentorship</w:t>
      </w:r>
    </w:p>
    <w:p w14:paraId="6E2F98CA" w14:textId="77777777" w:rsidR="007B00ED" w:rsidRPr="00CB2E37" w:rsidRDefault="007B00ED" w:rsidP="007B00ED">
      <w:pPr>
        <w:spacing w:line="480" w:lineRule="auto"/>
        <w:rPr>
          <w:rFonts w:ascii="Times New Roman" w:hAnsi="Times New Roman" w:cs="Times New Roman"/>
          <w:color w:val="FF0000"/>
          <w:sz w:val="24"/>
          <w:szCs w:val="24"/>
        </w:rPr>
      </w:pPr>
    </w:p>
    <w:p w14:paraId="75F9E1A9" w14:textId="0E52F840" w:rsidR="00306653" w:rsidRPr="00306653" w:rsidRDefault="00306653" w:rsidP="00306653">
      <w:pPr>
        <w:spacing w:line="480" w:lineRule="auto"/>
        <w:rPr>
          <w:rFonts w:ascii="Times New Roman" w:hAnsi="Times New Roman" w:cs="Times New Roman"/>
        </w:rPr>
      </w:pPr>
    </w:p>
    <w:p w14:paraId="200A5970" w14:textId="2D619EC1" w:rsidR="00306653" w:rsidRDefault="00306653" w:rsidP="00306653">
      <w:pPr>
        <w:spacing w:line="480" w:lineRule="auto"/>
        <w:rPr>
          <w:rFonts w:ascii="Times New Roman" w:hAnsi="Times New Roman" w:cs="Times New Roman"/>
        </w:rPr>
      </w:pPr>
    </w:p>
    <w:p w14:paraId="15142DD4" w14:textId="422EDE14" w:rsidR="00CB2E37" w:rsidRDefault="00CB2E37" w:rsidP="00306653">
      <w:pPr>
        <w:spacing w:line="480" w:lineRule="auto"/>
        <w:rPr>
          <w:rFonts w:ascii="Times New Roman" w:hAnsi="Times New Roman" w:cs="Times New Roman"/>
        </w:rPr>
      </w:pPr>
    </w:p>
    <w:p w14:paraId="1B0A8AB9" w14:textId="7E788C6E" w:rsidR="00CB2E37" w:rsidRDefault="00CB2E37" w:rsidP="00306653">
      <w:pPr>
        <w:spacing w:line="480" w:lineRule="auto"/>
        <w:rPr>
          <w:rFonts w:ascii="Times New Roman" w:hAnsi="Times New Roman" w:cs="Times New Roman"/>
        </w:rPr>
      </w:pPr>
    </w:p>
    <w:p w14:paraId="71B06520" w14:textId="17245E8F" w:rsidR="00CB2E37" w:rsidRDefault="00CB2E37" w:rsidP="00306653">
      <w:pPr>
        <w:spacing w:line="480" w:lineRule="auto"/>
        <w:rPr>
          <w:rFonts w:ascii="Times New Roman" w:hAnsi="Times New Roman" w:cs="Times New Roman"/>
        </w:rPr>
      </w:pPr>
    </w:p>
    <w:p w14:paraId="694C5702" w14:textId="30B2D75F" w:rsidR="00CB2E37" w:rsidRDefault="00CB2E37" w:rsidP="00306653">
      <w:pPr>
        <w:spacing w:line="480" w:lineRule="auto"/>
        <w:rPr>
          <w:rFonts w:ascii="Times New Roman" w:hAnsi="Times New Roman" w:cs="Times New Roman"/>
        </w:rPr>
      </w:pPr>
    </w:p>
    <w:p w14:paraId="57FD23B6" w14:textId="254FF2E8" w:rsidR="00CB2E37" w:rsidRDefault="00CB2E37" w:rsidP="00306653">
      <w:pPr>
        <w:spacing w:line="480" w:lineRule="auto"/>
        <w:rPr>
          <w:rFonts w:ascii="Times New Roman" w:hAnsi="Times New Roman" w:cs="Times New Roman"/>
        </w:rPr>
      </w:pPr>
    </w:p>
    <w:p w14:paraId="07267671" w14:textId="699A7D74" w:rsidR="00CB2E37" w:rsidRDefault="00CB2E37" w:rsidP="00306653">
      <w:pPr>
        <w:spacing w:line="480" w:lineRule="auto"/>
        <w:rPr>
          <w:rFonts w:ascii="Times New Roman" w:hAnsi="Times New Roman" w:cs="Times New Roman"/>
        </w:rPr>
      </w:pPr>
    </w:p>
    <w:p w14:paraId="66CBB204" w14:textId="2F792C5B" w:rsidR="00CB2E37" w:rsidRDefault="00CB2E37" w:rsidP="00306653">
      <w:pPr>
        <w:spacing w:line="480" w:lineRule="auto"/>
        <w:rPr>
          <w:rFonts w:ascii="Times New Roman" w:hAnsi="Times New Roman" w:cs="Times New Roman"/>
        </w:rPr>
      </w:pPr>
    </w:p>
    <w:p w14:paraId="56A75DEC" w14:textId="6DCB0FC8" w:rsidR="00CB2E37" w:rsidRDefault="00CB2E37" w:rsidP="00306653">
      <w:pPr>
        <w:spacing w:line="480" w:lineRule="auto"/>
        <w:rPr>
          <w:rFonts w:ascii="Times New Roman" w:hAnsi="Times New Roman" w:cs="Times New Roman"/>
        </w:rPr>
      </w:pPr>
    </w:p>
    <w:p w14:paraId="22295ED3" w14:textId="77777777" w:rsidR="00CB2E37" w:rsidRPr="00306653" w:rsidRDefault="00CB2E37" w:rsidP="00306653">
      <w:pPr>
        <w:spacing w:line="480" w:lineRule="auto"/>
        <w:rPr>
          <w:rFonts w:ascii="Times New Roman" w:hAnsi="Times New Roman" w:cs="Times New Roman"/>
        </w:rPr>
      </w:pPr>
    </w:p>
    <w:p w14:paraId="3948A709" w14:textId="77777777" w:rsidR="00306653" w:rsidRDefault="00306653" w:rsidP="00306653">
      <w:pPr>
        <w:pStyle w:val="Heading1"/>
        <w:spacing w:before="0"/>
      </w:pPr>
      <w:r w:rsidRPr="00306653">
        <w:lastRenderedPageBreak/>
        <w:t xml:space="preserve">From Advocacy to Action: Lessons From 30 Years of the </w:t>
      </w:r>
    </w:p>
    <w:p w14:paraId="1CC597F8" w14:textId="4C822EC2" w:rsidR="00306653" w:rsidRPr="00306653" w:rsidRDefault="00306653" w:rsidP="00306653">
      <w:pPr>
        <w:pStyle w:val="Heading1"/>
        <w:spacing w:before="0"/>
      </w:pPr>
      <w:r w:rsidRPr="00306653">
        <w:t>NYSOTA Mental Health Task Force</w:t>
      </w:r>
    </w:p>
    <w:p w14:paraId="25E46F55" w14:textId="3AA284DD" w:rsidR="00306653" w:rsidRPr="00306653" w:rsidRDefault="00306653" w:rsidP="00093D50">
      <w:pPr>
        <w:spacing w:after="0" w:line="480" w:lineRule="auto"/>
        <w:rPr>
          <w:rFonts w:ascii="Times New Roman" w:hAnsi="Times New Roman" w:cs="Times New Roman"/>
          <w:sz w:val="24"/>
          <w:szCs w:val="24"/>
        </w:rPr>
      </w:pPr>
      <w:r w:rsidRPr="00306653">
        <w:rPr>
          <w:rStyle w:val="Heading2Char"/>
        </w:rPr>
        <w:t>Introduction</w:t>
      </w:r>
    </w:p>
    <w:p w14:paraId="478FE140"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In 1995, occupational therapy practitioners across New York State faced a rapidly changing mental health service landscape. Funding structures and service delivery models were shifting, and occupational therapy’s contribution to recovery, participation, and quality of life required a more visible and coordinated voice. In response, occupational therapists formed the New York State Occupational Therapy Association Mental Health Task Force (NYSOTA MHTF). Three decades later, its experience offers a practical model for occupational therapy practitioners and state associations seeking to strengthen the profession’s place in mental and behavioral health systems (New York State Occupational Therapy Association [NYSOTA], 2025).</w:t>
      </w:r>
    </w:p>
    <w:p w14:paraId="75C13820" w14:textId="77694D04" w:rsidR="00306653" w:rsidRPr="003E06A7"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The MHTF’s history shows that durable change rarely results from one event, one leader, or one legislative effort. Progress has depended on a sustained combination of advocacy, relationship building, workforce development, practice resources, mentorship, and communication. This article uses the MHTF as a case example and translates its experience into six actions that other </w:t>
      </w:r>
      <w:r w:rsidRPr="003E06A7">
        <w:rPr>
          <w:rFonts w:ascii="Times New Roman" w:hAnsi="Times New Roman" w:cs="Times New Roman"/>
          <w:sz w:val="24"/>
          <w:szCs w:val="24"/>
        </w:rPr>
        <w:t>occupational therapy groups can adapt to their own settings.</w:t>
      </w:r>
    </w:p>
    <w:p w14:paraId="1DBC95F4" w14:textId="2BBADB7A" w:rsidR="00961B4D" w:rsidRPr="003E06A7" w:rsidRDefault="00961B4D" w:rsidP="00093D50">
      <w:pPr>
        <w:spacing w:after="0" w:line="480" w:lineRule="auto"/>
        <w:rPr>
          <w:rFonts w:ascii="Times New Roman" w:hAnsi="Times New Roman" w:cs="Times New Roman"/>
          <w:sz w:val="24"/>
          <w:szCs w:val="24"/>
        </w:rPr>
      </w:pPr>
      <w:r w:rsidRPr="003E06A7">
        <w:rPr>
          <w:rFonts w:ascii="Times New Roman" w:hAnsi="Times New Roman" w:cs="Times New Roman"/>
          <w:sz w:val="24"/>
          <w:szCs w:val="24"/>
        </w:rPr>
        <w:t xml:space="preserve">Over three decades, the NYSOTA MHTF has advanced occupational therapy in mental health through interconnected efforts in legislative advocacy, education and fieldwork, community engagement, psychosocial practice, professional collaboration, and resource development. As illustrated in Figure 1, these historical areas of engagement reflect the MHTF's multifaceted approach to strengthening professional recognition, supporting practice development, and promoting occupational therapy's contributions to mental health services. Drawing on these </w:t>
      </w:r>
      <w:r w:rsidRPr="003E06A7">
        <w:rPr>
          <w:rFonts w:ascii="Times New Roman" w:hAnsi="Times New Roman" w:cs="Times New Roman"/>
          <w:sz w:val="24"/>
          <w:szCs w:val="24"/>
        </w:rPr>
        <w:lastRenderedPageBreak/>
        <w:t>experiences, the following six actions offer practical lessons for sustaining advocacy, strengthening professional capacity, and advancing occupational therapy's role in mental health.</w:t>
      </w:r>
    </w:p>
    <w:p w14:paraId="4D371548" w14:textId="77777777" w:rsidR="008A2AB4" w:rsidRPr="003E06A7" w:rsidRDefault="008A2AB4" w:rsidP="008A2AB4">
      <w:pPr>
        <w:spacing w:after="0" w:line="480" w:lineRule="auto"/>
        <w:rPr>
          <w:rFonts w:ascii="Times New Roman" w:hAnsi="Times New Roman" w:cs="Times New Roman"/>
          <w:b/>
          <w:bCs/>
          <w:sz w:val="24"/>
          <w:szCs w:val="24"/>
        </w:rPr>
      </w:pPr>
      <w:r w:rsidRPr="003E06A7">
        <w:rPr>
          <w:rFonts w:ascii="Times New Roman" w:hAnsi="Times New Roman" w:cs="Times New Roman"/>
          <w:b/>
          <w:bCs/>
          <w:sz w:val="24"/>
          <w:szCs w:val="24"/>
        </w:rPr>
        <w:t>Figure 1</w:t>
      </w:r>
    </w:p>
    <w:p w14:paraId="6DD57039" w14:textId="6E1175E5" w:rsidR="008A2AB4" w:rsidRPr="003E06A7" w:rsidRDefault="008A2AB4" w:rsidP="008A2AB4">
      <w:pPr>
        <w:spacing w:after="0" w:line="480" w:lineRule="auto"/>
        <w:rPr>
          <w:rFonts w:ascii="Times New Roman" w:hAnsi="Times New Roman" w:cs="Times New Roman"/>
          <w:i/>
          <w:iCs/>
          <w:sz w:val="24"/>
          <w:szCs w:val="24"/>
        </w:rPr>
      </w:pPr>
      <w:r w:rsidRPr="003E06A7">
        <w:rPr>
          <w:rFonts w:ascii="Times New Roman" w:hAnsi="Times New Roman" w:cs="Times New Roman"/>
          <w:i/>
          <w:iCs/>
          <w:sz w:val="24"/>
          <w:szCs w:val="24"/>
        </w:rPr>
        <w:t>Historical Areas of Engagement and Advocacy of the NYSOTA Mental Health Task Force</w:t>
      </w:r>
    </w:p>
    <w:p w14:paraId="2EE4D59E" w14:textId="4FC9800B" w:rsidR="008A2AB4" w:rsidRPr="00961B4D" w:rsidRDefault="008A2AB4" w:rsidP="008A2AB4">
      <w:pPr>
        <w:spacing w:after="0" w:line="480" w:lineRule="auto"/>
        <w:rPr>
          <w:rFonts w:ascii="Times New Roman" w:hAnsi="Times New Roman" w:cs="Times New Roman"/>
          <w:color w:val="FF0000"/>
          <w:sz w:val="24"/>
          <w:szCs w:val="24"/>
        </w:rPr>
      </w:pPr>
      <w:r>
        <w:rPr>
          <w:rFonts w:ascii="Times New Roman" w:hAnsi="Times New Roman" w:cs="Times New Roman"/>
          <w:noProof/>
          <w:color w:val="FF0000"/>
          <w:sz w:val="24"/>
          <w:szCs w:val="24"/>
        </w:rPr>
        <w:drawing>
          <wp:inline distT="0" distB="0" distL="0" distR="0" wp14:anchorId="0F06D838" wp14:editId="139D73D5">
            <wp:extent cx="6268335" cy="3598138"/>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35658" cy="3636782"/>
                    </a:xfrm>
                    <a:prstGeom prst="rect">
                      <a:avLst/>
                    </a:prstGeom>
                    <a:noFill/>
                  </pic:spPr>
                </pic:pic>
              </a:graphicData>
            </a:graphic>
          </wp:inline>
        </w:drawing>
      </w:r>
    </w:p>
    <w:p w14:paraId="1512CF50" w14:textId="363C6268" w:rsidR="00F64756" w:rsidRDefault="008A2AB4" w:rsidP="00F64756">
      <w:pPr>
        <w:spacing w:after="0" w:line="480" w:lineRule="auto"/>
        <w:rPr>
          <w:rFonts w:ascii="Times New Roman" w:hAnsi="Times New Roman" w:cs="Times New Roman"/>
          <w:sz w:val="24"/>
          <w:szCs w:val="24"/>
        </w:rPr>
      </w:pPr>
      <w:r w:rsidRPr="008A2AB4">
        <w:rPr>
          <w:rFonts w:ascii="Times New Roman" w:hAnsi="Times New Roman" w:cs="Times New Roman"/>
          <w:i/>
          <w:iCs/>
          <w:sz w:val="24"/>
          <w:szCs w:val="24"/>
        </w:rPr>
        <w:t>Note.</w:t>
      </w:r>
      <w:r w:rsidRPr="008A2AB4">
        <w:rPr>
          <w:rFonts w:ascii="Times New Roman" w:hAnsi="Times New Roman" w:cs="Times New Roman"/>
          <w:sz w:val="24"/>
          <w:szCs w:val="24"/>
        </w:rPr>
        <w:t xml:space="preserve"> </w:t>
      </w:r>
      <w:r w:rsidR="00F64756" w:rsidRPr="00F64756">
        <w:rPr>
          <w:rFonts w:ascii="Times New Roman" w:hAnsi="Times New Roman" w:cs="Times New Roman"/>
          <w:sz w:val="24"/>
          <w:szCs w:val="24"/>
        </w:rPr>
        <w:t>Figure generated using an artificial intelligence image-generation tool based on author-developed content and reviewed by the authors. The six domains represent interconnected areas of historical engagement and advocacy; arrows indicate reciprocal relationships rather than chronological or causal relationships.</w:t>
      </w:r>
    </w:p>
    <w:p w14:paraId="109328B3" w14:textId="1A716C3A" w:rsidR="00306653" w:rsidRPr="00306653" w:rsidRDefault="00306653" w:rsidP="00093D50">
      <w:pPr>
        <w:pStyle w:val="Heading2"/>
        <w:spacing w:before="0" w:after="0" w:line="480" w:lineRule="auto"/>
      </w:pPr>
      <w:r w:rsidRPr="00306653">
        <w:t>Action 1: Build a Shared Purpose and an Enduring Structure</w:t>
      </w:r>
    </w:p>
    <w:p w14:paraId="788D2547" w14:textId="551E9D82"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The founding members</w:t>
      </w:r>
      <w:r w:rsidR="00093D50">
        <w:rPr>
          <w:rFonts w:ascii="Times New Roman" w:hAnsi="Times New Roman" w:cs="Times New Roman"/>
          <w:sz w:val="24"/>
          <w:szCs w:val="24"/>
        </w:rPr>
        <w:t xml:space="preserve">, </w:t>
      </w:r>
      <w:r w:rsidRPr="00306653">
        <w:rPr>
          <w:rFonts w:ascii="Times New Roman" w:hAnsi="Times New Roman" w:cs="Times New Roman"/>
          <w:sz w:val="24"/>
          <w:szCs w:val="24"/>
        </w:rPr>
        <w:t xml:space="preserve">including Joan Feder, Diane Tewfik, Sheri </w:t>
      </w:r>
      <w:proofErr w:type="spellStart"/>
      <w:r w:rsidRPr="00306653">
        <w:rPr>
          <w:rFonts w:ascii="Times New Roman" w:hAnsi="Times New Roman" w:cs="Times New Roman"/>
          <w:sz w:val="24"/>
          <w:szCs w:val="24"/>
        </w:rPr>
        <w:t>Wadler</w:t>
      </w:r>
      <w:proofErr w:type="spellEnd"/>
      <w:r w:rsidRPr="00306653">
        <w:rPr>
          <w:rFonts w:ascii="Times New Roman" w:hAnsi="Times New Roman" w:cs="Times New Roman"/>
          <w:sz w:val="24"/>
          <w:szCs w:val="24"/>
        </w:rPr>
        <w:t>, Anne Hiller Scott, Suzanne White, Mary V. Donohue, and Cheryl King</w:t>
      </w:r>
      <w:r w:rsidR="00093D50">
        <w:rPr>
          <w:rFonts w:ascii="Times New Roman" w:hAnsi="Times New Roman" w:cs="Times New Roman"/>
          <w:sz w:val="24"/>
          <w:szCs w:val="24"/>
        </w:rPr>
        <w:t xml:space="preserve">, </w:t>
      </w:r>
      <w:r w:rsidRPr="00306653">
        <w:rPr>
          <w:rFonts w:ascii="Times New Roman" w:hAnsi="Times New Roman" w:cs="Times New Roman"/>
          <w:sz w:val="24"/>
          <w:szCs w:val="24"/>
        </w:rPr>
        <w:t xml:space="preserve">recognized that isolated efforts would not be sufficient. They organized around a shared purpose: keeping occupational therapy visible, valued, and integrated within mental health services. The task force created a place where </w:t>
      </w:r>
      <w:r w:rsidRPr="00306653">
        <w:rPr>
          <w:rFonts w:ascii="Times New Roman" w:hAnsi="Times New Roman" w:cs="Times New Roman"/>
          <w:sz w:val="24"/>
          <w:szCs w:val="24"/>
        </w:rPr>
        <w:lastRenderedPageBreak/>
        <w:t>practitioners, educators, students, and advocates could exchange information, identify emerging threats and opportunities, and coordinate responses (NYSOTA, 2025).</w:t>
      </w:r>
    </w:p>
    <w:p w14:paraId="59DC1538"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A state association or regional group can begin with a small, clearly defined structure. Identify a coordinator, establish a regular communication channel, and develop two or three priorities grounded in local needs. Membership should include practitioners from different settings and career stages, educators, students, and people with policy or community connections. Continuity is strengthened when responsibilities, contacts, advocacy history, and active projects are documented rather than held by one person.</w:t>
      </w:r>
    </w:p>
    <w:p w14:paraId="6B26EC11"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A useful first step is to ask three questions: Where is occupational therapy absent from mental health policy or service planning? What evidence demonstrates occupational therapy’s distinct contribution? Who must understand that contribution for change to occur? The answers provide a focused agenda and prevent the group from becoming only a discussion forum.</w:t>
      </w:r>
    </w:p>
    <w:p w14:paraId="4F3B4980" w14:textId="77777777" w:rsidR="00306653" w:rsidRPr="00306653" w:rsidRDefault="00306653" w:rsidP="00093D50">
      <w:pPr>
        <w:pStyle w:val="Heading2"/>
        <w:spacing w:before="0" w:after="0" w:line="480" w:lineRule="auto"/>
      </w:pPr>
      <w:r w:rsidRPr="00306653">
        <w:t>Action 2: Listen Before Proposing Solutions</w:t>
      </w:r>
    </w:p>
    <w:p w14:paraId="307FA11F"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Effective advocacy begins with understanding the priorities and constraints of decision-makers. In New York, advocates Christine </w:t>
      </w:r>
      <w:proofErr w:type="spellStart"/>
      <w:r w:rsidRPr="00306653">
        <w:rPr>
          <w:rFonts w:ascii="Times New Roman" w:hAnsi="Times New Roman" w:cs="Times New Roman"/>
          <w:sz w:val="24"/>
          <w:szCs w:val="24"/>
        </w:rPr>
        <w:t>Linkie</w:t>
      </w:r>
      <w:proofErr w:type="spellEnd"/>
      <w:r w:rsidRPr="00306653">
        <w:rPr>
          <w:rFonts w:ascii="Times New Roman" w:hAnsi="Times New Roman" w:cs="Times New Roman"/>
          <w:sz w:val="24"/>
          <w:szCs w:val="24"/>
        </w:rPr>
        <w:t>, Jeff Tomlinson, and David Merlo listened to leaders from the New York State Office of Mental Health (OMH) as the agency redesigned Personalized Recovery Oriented Services (PROS). They then connected those expressed needs to occupational therapy’s expertise in routines, roles, functional cognition, environmental supports, and community participation (Merlo et al., 2025).</w:t>
      </w:r>
    </w:p>
    <w:p w14:paraId="2B54F223" w14:textId="74E0238F" w:rsidR="00306653" w:rsidRPr="007B00ED" w:rsidRDefault="00306653" w:rsidP="00093D50">
      <w:pPr>
        <w:spacing w:after="0" w:line="480" w:lineRule="auto"/>
        <w:rPr>
          <w:rFonts w:ascii="Times New Roman" w:hAnsi="Times New Roman" w:cs="Times New Roman"/>
          <w:color w:val="FF0000"/>
          <w:sz w:val="24"/>
          <w:szCs w:val="24"/>
        </w:rPr>
      </w:pPr>
      <w:r w:rsidRPr="00306653">
        <w:rPr>
          <w:rFonts w:ascii="Times New Roman" w:hAnsi="Times New Roman" w:cs="Times New Roman"/>
          <w:sz w:val="24"/>
          <w:szCs w:val="24"/>
        </w:rPr>
        <w:t xml:space="preserve">This relationship-centered approach contributed to recognition of occupational therapists as Licensed Practitioners of the Healing Arts in New York State and supported inclusion of occupational therapy in OMH-funded programs such as PROS (Merlo et al., 2025). The broader lesson is transferable: begin with the system’s problem, use the language of the decision-maker, </w:t>
      </w:r>
      <w:r w:rsidRPr="00306653">
        <w:rPr>
          <w:rFonts w:ascii="Times New Roman" w:hAnsi="Times New Roman" w:cs="Times New Roman"/>
          <w:sz w:val="24"/>
          <w:szCs w:val="24"/>
        </w:rPr>
        <w:lastRenderedPageBreak/>
        <w:t>and show how occupational therapy addresses outcomes that matter to that system. National efforts, including advocacy related to mental health parity, can reinforce local work, but state-specific opportunities and barriers still require tailored strategies (</w:t>
      </w:r>
      <w:proofErr w:type="spellStart"/>
      <w:r w:rsidRPr="00306653">
        <w:rPr>
          <w:rFonts w:ascii="Times New Roman" w:hAnsi="Times New Roman" w:cs="Times New Roman"/>
          <w:sz w:val="24"/>
          <w:szCs w:val="24"/>
        </w:rPr>
        <w:t>Haertl</w:t>
      </w:r>
      <w:proofErr w:type="spellEnd"/>
      <w:r w:rsidRPr="00306653">
        <w:rPr>
          <w:rFonts w:ascii="Times New Roman" w:hAnsi="Times New Roman" w:cs="Times New Roman"/>
          <w:sz w:val="24"/>
          <w:szCs w:val="24"/>
        </w:rPr>
        <w:t>, 2016; Wilburn et al., 2021).</w:t>
      </w:r>
      <w:r w:rsidR="007B00ED" w:rsidRPr="007B00ED">
        <w:t xml:space="preserve"> </w:t>
      </w:r>
    </w:p>
    <w:p w14:paraId="74D9F451" w14:textId="77777777" w:rsidR="00306653" w:rsidRPr="003E06A7"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Before approaching an agency or legislator, practitioners can prepare a concise description of the </w:t>
      </w:r>
      <w:r w:rsidRPr="003E06A7">
        <w:rPr>
          <w:rFonts w:ascii="Times New Roman" w:hAnsi="Times New Roman" w:cs="Times New Roman"/>
          <w:sz w:val="24"/>
          <w:szCs w:val="24"/>
        </w:rPr>
        <w:t>problem, the population affected, occupational therapy’s distinct contribution, supporting evidence, and one specific requested action. Follow-up should document commitments and maintain the relationship even when policy change is not immediate.</w:t>
      </w:r>
    </w:p>
    <w:p w14:paraId="687EABD4" w14:textId="77777777" w:rsidR="00306653" w:rsidRPr="003E06A7" w:rsidRDefault="00306653" w:rsidP="00093D50">
      <w:pPr>
        <w:pStyle w:val="Heading2"/>
        <w:spacing w:before="0" w:after="0" w:line="480" w:lineRule="auto"/>
      </w:pPr>
      <w:r w:rsidRPr="003E06A7">
        <w:t>Action 3: Connect Advocacy to Workforce and Practice Capacity</w:t>
      </w:r>
    </w:p>
    <w:p w14:paraId="6470E39E" w14:textId="2CE3EA88" w:rsidR="00E37874" w:rsidRPr="003E06A7" w:rsidRDefault="00E37874" w:rsidP="00E37874">
      <w:pPr>
        <w:spacing w:after="0" w:line="480" w:lineRule="auto"/>
        <w:rPr>
          <w:rFonts w:ascii="Times New Roman" w:hAnsi="Times New Roman" w:cs="Times New Roman"/>
          <w:sz w:val="24"/>
          <w:szCs w:val="24"/>
        </w:rPr>
      </w:pPr>
      <w:r w:rsidRPr="003E06A7">
        <w:rPr>
          <w:rFonts w:ascii="Times New Roman" w:hAnsi="Times New Roman" w:cs="Times New Roman"/>
          <w:sz w:val="24"/>
          <w:szCs w:val="24"/>
        </w:rPr>
        <w:t xml:space="preserve">Recognition in policy has limited impact unless occupational therapy practitioners have opportunities to enter, sustain, and demonstrate their value in mental health practice. Connecting advocacy with recruitment, fieldwork education, professional development, and practice resources can strengthen workforce and service capacity. The New York City </w:t>
      </w:r>
      <w:r w:rsidR="003E06A7" w:rsidRPr="003E06A7">
        <w:rPr>
          <w:rFonts w:ascii="Times New Roman" w:hAnsi="Times New Roman" w:cs="Times New Roman"/>
          <w:i/>
          <w:iCs/>
          <w:sz w:val="24"/>
          <w:szCs w:val="24"/>
        </w:rPr>
        <w:t>Behavioral Health Career Roadmap</w:t>
      </w:r>
      <w:r w:rsidRPr="003E06A7">
        <w:rPr>
          <w:rFonts w:ascii="Times New Roman" w:hAnsi="Times New Roman" w:cs="Times New Roman"/>
          <w:sz w:val="24"/>
          <w:szCs w:val="24"/>
        </w:rPr>
        <w:t xml:space="preserve"> identifies a pathway from occupational therapy assistant to occupational therapist (New York City Mayor’s Office, 2025). Although relevant to workforce development, the roadmap alone does not establish the MHTF’s role in its creation. Likewise, specific MHTF contributions to state workforce or loan repayment initiatives should be attributed only when supported by documentation.</w:t>
      </w:r>
    </w:p>
    <w:p w14:paraId="01F0FD9F" w14:textId="1E4CBA51" w:rsidR="00E37874" w:rsidRPr="003E06A7" w:rsidRDefault="00E37874" w:rsidP="00E37874">
      <w:pPr>
        <w:spacing w:after="0" w:line="480" w:lineRule="auto"/>
        <w:rPr>
          <w:rFonts w:ascii="Times New Roman" w:hAnsi="Times New Roman" w:cs="Times New Roman"/>
          <w:sz w:val="24"/>
          <w:szCs w:val="24"/>
        </w:rPr>
      </w:pPr>
      <w:r w:rsidRPr="003E06A7">
        <w:rPr>
          <w:rFonts w:ascii="Times New Roman" w:hAnsi="Times New Roman" w:cs="Times New Roman"/>
          <w:sz w:val="24"/>
          <w:szCs w:val="24"/>
        </w:rPr>
        <w:t xml:space="preserve">Community-based practice offers another illustration. Tewfik and Scott (2022) reported that </w:t>
      </w:r>
      <w:r w:rsidRPr="003E06A7">
        <w:rPr>
          <w:rFonts w:ascii="Times New Roman" w:hAnsi="Times New Roman" w:cs="Times New Roman"/>
          <w:i/>
          <w:iCs/>
          <w:sz w:val="24"/>
          <w:szCs w:val="24"/>
        </w:rPr>
        <w:t>Project Renewal</w:t>
      </w:r>
      <w:r w:rsidRPr="003E06A7">
        <w:rPr>
          <w:rFonts w:ascii="Times New Roman" w:hAnsi="Times New Roman" w:cs="Times New Roman"/>
          <w:sz w:val="24"/>
          <w:szCs w:val="24"/>
        </w:rPr>
        <w:t xml:space="preserve"> employed more than 20 occupational therapists and hosted approximately 50 interns annually at the time of their account. These historical figures demonstrate potential employment and experiential-learning opportunities; they should not be interpreted as verified current staffing or placement levels. Groups seeking similar growth can identify mental health </w:t>
      </w:r>
      <w:r w:rsidRPr="003E06A7">
        <w:rPr>
          <w:rFonts w:ascii="Times New Roman" w:hAnsi="Times New Roman" w:cs="Times New Roman"/>
          <w:sz w:val="24"/>
          <w:szCs w:val="24"/>
        </w:rPr>
        <w:lastRenderedPageBreak/>
        <w:t>settings without occupational therapy services, engage employers and academic programs, and explore fieldwork placements or pilot services. Workforce data, placement capacity, service outcomes, and employer perspectives can then inform sustained advocacy.</w:t>
      </w:r>
    </w:p>
    <w:p w14:paraId="33AEF23E" w14:textId="1CF87018" w:rsidR="00306653" w:rsidRPr="00306653" w:rsidRDefault="00306653" w:rsidP="00E37874">
      <w:pPr>
        <w:spacing w:after="0" w:line="480" w:lineRule="auto"/>
        <w:rPr>
          <w:rFonts w:ascii="Times New Roman" w:hAnsi="Times New Roman" w:cs="Times New Roman"/>
          <w:b/>
          <w:bCs/>
          <w:sz w:val="24"/>
          <w:szCs w:val="24"/>
        </w:rPr>
      </w:pPr>
      <w:r w:rsidRPr="00306653">
        <w:rPr>
          <w:rFonts w:ascii="Times New Roman" w:hAnsi="Times New Roman" w:cs="Times New Roman"/>
          <w:b/>
          <w:bCs/>
          <w:sz w:val="24"/>
          <w:szCs w:val="24"/>
        </w:rPr>
        <w:t>Action 4: Make Occupational Therapy Visible Through Practice</w:t>
      </w:r>
    </w:p>
    <w:p w14:paraId="64B1D902" w14:textId="4C99185A" w:rsidR="00F64756" w:rsidRPr="003E06A7" w:rsidRDefault="00306653" w:rsidP="00F64756">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The MHTF’s community initiatives have kept advocacy connected to occupation-centered practice. Partnerships with local chapters of the National Alliance on Mental Illness led to OTs Walk with NAMI, which promoted wellness, physical activity, and occupational engagement in day treatment programs and psychiatric clubhouses. Publicly accessible resources from the SUNY Downstate Occupational Therapy Program describe walking protocols and group wellness approaches </w:t>
      </w:r>
      <w:r w:rsidR="00F64756" w:rsidRPr="00306653">
        <w:rPr>
          <w:rFonts w:ascii="Times New Roman" w:hAnsi="Times New Roman" w:cs="Times New Roman"/>
          <w:sz w:val="24"/>
          <w:szCs w:val="24"/>
        </w:rPr>
        <w:t>that clinician</w:t>
      </w:r>
      <w:r w:rsidRPr="00306653">
        <w:rPr>
          <w:rFonts w:ascii="Times New Roman" w:hAnsi="Times New Roman" w:cs="Times New Roman"/>
          <w:sz w:val="24"/>
          <w:szCs w:val="24"/>
        </w:rPr>
        <w:t xml:space="preserve"> can adapt (SUNY Downstate Health Sciences University, n.d</w:t>
      </w:r>
      <w:r w:rsidRPr="003E06A7">
        <w:rPr>
          <w:rFonts w:ascii="Times New Roman" w:hAnsi="Times New Roman" w:cs="Times New Roman"/>
          <w:sz w:val="24"/>
          <w:szCs w:val="24"/>
        </w:rPr>
        <w:t>.).</w:t>
      </w:r>
      <w:r w:rsidR="00F64756" w:rsidRPr="003E06A7">
        <w:rPr>
          <w:rFonts w:ascii="Times New Roman" w:hAnsi="Times New Roman" w:cs="Times New Roman"/>
          <w:sz w:val="24"/>
          <w:szCs w:val="24"/>
        </w:rPr>
        <w:t xml:space="preserve"> </w:t>
      </w:r>
      <w:r w:rsidRPr="003E06A7">
        <w:rPr>
          <w:rFonts w:ascii="Times New Roman" w:hAnsi="Times New Roman" w:cs="Times New Roman"/>
          <w:sz w:val="24"/>
          <w:szCs w:val="24"/>
        </w:rPr>
        <w:t xml:space="preserve">The task force also supported practice tools that address participation, routines, executive functioning, and psychosocial engagement. </w:t>
      </w:r>
      <w:r w:rsidR="00F64756" w:rsidRPr="003E06A7">
        <w:rPr>
          <w:rFonts w:ascii="Times New Roman" w:hAnsi="Times New Roman" w:cs="Times New Roman"/>
          <w:sz w:val="24"/>
          <w:szCs w:val="24"/>
        </w:rPr>
        <w:t xml:space="preserve">Occupation-centered resources relevant to this work include </w:t>
      </w:r>
      <w:r w:rsidR="00F64756" w:rsidRPr="003E06A7">
        <w:rPr>
          <w:rStyle w:val="Emphasis"/>
          <w:rFonts w:ascii="Times New Roman" w:hAnsi="Times New Roman" w:cs="Times New Roman"/>
          <w:sz w:val="24"/>
          <w:szCs w:val="24"/>
        </w:rPr>
        <w:t>Let’s Get Organized</w:t>
      </w:r>
      <w:r w:rsidR="00F64756" w:rsidRPr="003E06A7">
        <w:rPr>
          <w:rFonts w:ascii="Times New Roman" w:hAnsi="Times New Roman" w:cs="Times New Roman"/>
          <w:sz w:val="24"/>
          <w:szCs w:val="24"/>
        </w:rPr>
        <w:t xml:space="preserve"> (White, 2007), the </w:t>
      </w:r>
      <w:r w:rsidR="00F64756" w:rsidRPr="003E06A7">
        <w:rPr>
          <w:rStyle w:val="Emphasis"/>
          <w:rFonts w:ascii="Times New Roman" w:hAnsi="Times New Roman" w:cs="Times New Roman"/>
          <w:sz w:val="24"/>
          <w:szCs w:val="24"/>
        </w:rPr>
        <w:t>Social Profile</w:t>
      </w:r>
      <w:r w:rsidR="00F64756" w:rsidRPr="003E06A7">
        <w:rPr>
          <w:rFonts w:ascii="Times New Roman" w:hAnsi="Times New Roman" w:cs="Times New Roman"/>
          <w:sz w:val="24"/>
          <w:szCs w:val="24"/>
        </w:rPr>
        <w:t xml:space="preserve"> (Donohue, 2022), and the </w:t>
      </w:r>
      <w:r w:rsidR="00F64756" w:rsidRPr="003E06A7">
        <w:rPr>
          <w:rStyle w:val="Emphasis"/>
          <w:rFonts w:ascii="Times New Roman" w:hAnsi="Times New Roman" w:cs="Times New Roman"/>
          <w:sz w:val="24"/>
          <w:szCs w:val="24"/>
        </w:rPr>
        <w:t>Dream Home Assessment</w:t>
      </w:r>
      <w:r w:rsidR="00F64756" w:rsidRPr="003E06A7">
        <w:rPr>
          <w:rFonts w:ascii="Times New Roman" w:hAnsi="Times New Roman" w:cs="Times New Roman"/>
          <w:sz w:val="24"/>
          <w:szCs w:val="24"/>
        </w:rPr>
        <w:t xml:space="preserve"> (Raphael-Greenfield &amp; </w:t>
      </w:r>
      <w:proofErr w:type="spellStart"/>
      <w:r w:rsidR="00F64756" w:rsidRPr="003E06A7">
        <w:rPr>
          <w:rFonts w:ascii="Times New Roman" w:hAnsi="Times New Roman" w:cs="Times New Roman"/>
          <w:sz w:val="24"/>
          <w:szCs w:val="24"/>
        </w:rPr>
        <w:t>Grajo</w:t>
      </w:r>
      <w:proofErr w:type="spellEnd"/>
      <w:r w:rsidR="00F64756" w:rsidRPr="003E06A7">
        <w:rPr>
          <w:rFonts w:ascii="Times New Roman" w:hAnsi="Times New Roman" w:cs="Times New Roman"/>
          <w:sz w:val="24"/>
          <w:szCs w:val="24"/>
        </w:rPr>
        <w:t>, 2021). These resources illustrate approaches to addressing participation, routines, executive functioning, and psychosocial engagement in occupational therapy practice.</w:t>
      </w:r>
    </w:p>
    <w:p w14:paraId="5DB9A224"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Visibility grows when practitioners describe not only what they do, but also why the intervention is occupational therapy and what changed for the people served. Groups can support this by collecting short case examples, sharing outcome measures, hosting practice discussions, and creating resources that translate evidence into usable clinical strategies.</w:t>
      </w:r>
    </w:p>
    <w:p w14:paraId="358E21AF" w14:textId="77777777" w:rsidR="00306653" w:rsidRPr="00306653" w:rsidRDefault="00306653" w:rsidP="00093D50">
      <w:pPr>
        <w:pStyle w:val="Heading2"/>
        <w:spacing w:before="0" w:after="0" w:line="480" w:lineRule="auto"/>
      </w:pPr>
      <w:r w:rsidRPr="00306653">
        <w:t>Action 5: Develop the Next Generation of Advocates</w:t>
      </w:r>
    </w:p>
    <w:p w14:paraId="28AF11EA"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Mentorship has been central to the MHTF’s longevity. Students, early-career practitioners, mid-career leaders, and founders have worked together through educational programming, fieldwork </w:t>
      </w:r>
      <w:r w:rsidRPr="00306653">
        <w:rPr>
          <w:rFonts w:ascii="Times New Roman" w:hAnsi="Times New Roman" w:cs="Times New Roman"/>
          <w:sz w:val="24"/>
          <w:szCs w:val="24"/>
        </w:rPr>
        <w:lastRenderedPageBreak/>
        <w:t>partnerships, listserv discussions, presentations, and professional collaboration. This intergenerational structure preserves institutional memory while allowing new members to contribute contemporary perspectives and skills (NYSOTA, 2025).</w:t>
      </w:r>
    </w:p>
    <w:p w14:paraId="5C5E0764" w14:textId="7A79483A" w:rsidR="00E37874" w:rsidRPr="003E06A7" w:rsidRDefault="00E37874" w:rsidP="00E37874">
      <w:pPr>
        <w:spacing w:after="0" w:line="480" w:lineRule="auto"/>
        <w:rPr>
          <w:rFonts w:ascii="Times New Roman" w:hAnsi="Times New Roman" w:cs="Times New Roman"/>
          <w:b/>
          <w:bCs/>
          <w:sz w:val="24"/>
          <w:szCs w:val="24"/>
        </w:rPr>
      </w:pPr>
      <w:r w:rsidRPr="003E06A7">
        <w:rPr>
          <w:rFonts w:ascii="Times New Roman" w:hAnsi="Times New Roman" w:cs="Times New Roman"/>
          <w:sz w:val="24"/>
          <w:szCs w:val="24"/>
        </w:rPr>
        <w:t xml:space="preserve">The MHTF School-Based Team has described orientation materials, resource guides, and presentations addressing mental health considerations in fieldwork education (NYSOTA, 2025). Coopersmith et al. (2025) presented </w:t>
      </w:r>
      <w:r w:rsidRPr="003E06A7">
        <w:rPr>
          <w:rFonts w:ascii="Times New Roman" w:hAnsi="Times New Roman" w:cs="Times New Roman"/>
          <w:i/>
          <w:iCs/>
          <w:sz w:val="24"/>
          <w:szCs w:val="24"/>
        </w:rPr>
        <w:t>Fieldwork with Feeling</w:t>
      </w:r>
      <w:r w:rsidRPr="003E06A7">
        <w:rPr>
          <w:rFonts w:ascii="Times New Roman" w:hAnsi="Times New Roman" w:cs="Times New Roman"/>
          <w:sz w:val="24"/>
          <w:szCs w:val="24"/>
        </w:rPr>
        <w:t xml:space="preserve"> as an educational example. </w:t>
      </w:r>
      <w:r w:rsidR="00A55C1B" w:rsidRPr="003E06A7">
        <w:rPr>
          <w:rFonts w:ascii="Times New Roman" w:hAnsi="Times New Roman" w:cs="Times New Roman"/>
          <w:sz w:val="24"/>
          <w:szCs w:val="24"/>
        </w:rPr>
        <w:t xml:space="preserve">These examples illustrate ways to support fieldwork educators and emerging practitioners without assuming changes in the prevalence of student needs. </w:t>
      </w:r>
      <w:r w:rsidRPr="003E06A7">
        <w:rPr>
          <w:rFonts w:ascii="Times New Roman" w:hAnsi="Times New Roman" w:cs="Times New Roman"/>
          <w:sz w:val="24"/>
          <w:szCs w:val="24"/>
        </w:rPr>
        <w:t>Other groups can support succession by pairing emerging and experienced members, assigning students meaningful project roles, rotating leadership responsibilities, and archiving initiatives and outcomes. Mentorship should provide opportunities to contribute as well as observe.</w:t>
      </w:r>
    </w:p>
    <w:p w14:paraId="27BFA1BA" w14:textId="0AA44E57" w:rsidR="00306653" w:rsidRPr="00306653" w:rsidRDefault="00306653" w:rsidP="00E37874">
      <w:pPr>
        <w:pStyle w:val="Heading2"/>
        <w:spacing w:before="0" w:after="0" w:line="480" w:lineRule="auto"/>
      </w:pPr>
      <w:r w:rsidRPr="00306653">
        <w:t>Action 6: Measure Progress and Communicate Results</w:t>
      </w:r>
    </w:p>
    <w:p w14:paraId="7DAC2E9D"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Advocacy groups strengthen their credibility when they document both activities and outcomes. Activity measures may include meetings with agencies, educational events, resources developed, students mentored, or new organizational partners. Outcome measures show whether the work changed policy, access, workforce capacity, practice, or public understanding. Examples include occupational therapy being added to regulatory language, new reimbursable roles, additional fieldwork sites, increased practitioner positions, use of an occupation-centered resource, or improved stakeholder knowledge.</w:t>
      </w:r>
    </w:p>
    <w:p w14:paraId="51853944" w14:textId="3D2ED8E0"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Measures should match the maturity of the initiative. A new coalition may track participation, stakeholder feedback, and commitments obtained. A more established initiative may monitor policy milestones, workforce trends, referral patterns, service reach, or occupational participation outcomes. Qualitative evidence</w:t>
      </w:r>
      <w:r w:rsidR="00093D50">
        <w:rPr>
          <w:rFonts w:ascii="Times New Roman" w:hAnsi="Times New Roman" w:cs="Times New Roman"/>
          <w:sz w:val="24"/>
          <w:szCs w:val="24"/>
        </w:rPr>
        <w:t xml:space="preserve">, </w:t>
      </w:r>
      <w:r w:rsidRPr="00306653">
        <w:rPr>
          <w:rFonts w:ascii="Times New Roman" w:hAnsi="Times New Roman" w:cs="Times New Roman"/>
          <w:sz w:val="24"/>
          <w:szCs w:val="24"/>
        </w:rPr>
        <w:t xml:space="preserve">such as accounts from clients, practitioners, employers, and </w:t>
      </w:r>
      <w:r w:rsidRPr="00306653">
        <w:rPr>
          <w:rFonts w:ascii="Times New Roman" w:hAnsi="Times New Roman" w:cs="Times New Roman"/>
          <w:sz w:val="24"/>
          <w:szCs w:val="24"/>
        </w:rPr>
        <w:lastRenderedPageBreak/>
        <w:t>students</w:t>
      </w:r>
      <w:r w:rsidR="00093D50">
        <w:rPr>
          <w:rFonts w:ascii="Times New Roman" w:hAnsi="Times New Roman" w:cs="Times New Roman"/>
          <w:sz w:val="24"/>
          <w:szCs w:val="24"/>
        </w:rPr>
        <w:t xml:space="preserve">, </w:t>
      </w:r>
      <w:r w:rsidRPr="00306653">
        <w:rPr>
          <w:rFonts w:ascii="Times New Roman" w:hAnsi="Times New Roman" w:cs="Times New Roman"/>
          <w:sz w:val="24"/>
          <w:szCs w:val="24"/>
        </w:rPr>
        <w:t>can clarify how and why a change matters, but it should complement rather than replace available quantitative information.</w:t>
      </w:r>
    </w:p>
    <w:p w14:paraId="7EF2C5D5" w14:textId="232CBC56" w:rsidR="00306653" w:rsidRDefault="00306653" w:rsidP="00093D50">
      <w:pPr>
        <w:spacing w:after="0" w:line="480" w:lineRule="auto"/>
        <w:rPr>
          <w:rFonts w:ascii="Times New Roman" w:hAnsi="Times New Roman" w:cs="Times New Roman"/>
          <w:strike/>
          <w:sz w:val="24"/>
          <w:szCs w:val="24"/>
        </w:rPr>
      </w:pPr>
      <w:r w:rsidRPr="00306653">
        <w:rPr>
          <w:rFonts w:ascii="Times New Roman" w:hAnsi="Times New Roman" w:cs="Times New Roman"/>
          <w:sz w:val="24"/>
          <w:szCs w:val="24"/>
        </w:rPr>
        <w:t xml:space="preserve">Communication should be planned from the beginning. A brief annual summary can record priorities, actions, outcomes, unfinished work, and next steps. Sharing results through association channels, professional meetings, educational programs, and practice publications helps others adapt successful strategies and prevents knowledge from being lost during leadership transitions. </w:t>
      </w:r>
    </w:p>
    <w:p w14:paraId="4A413D06" w14:textId="43CEE772" w:rsidR="00A81E21" w:rsidRDefault="00F64756" w:rsidP="00093D50">
      <w:pPr>
        <w:spacing w:after="0" w:line="480" w:lineRule="auto"/>
        <w:rPr>
          <w:rFonts w:ascii="Times New Roman" w:hAnsi="Times New Roman" w:cs="Times New Roman"/>
          <w:sz w:val="24"/>
          <w:szCs w:val="24"/>
        </w:rPr>
      </w:pPr>
      <w:r w:rsidRPr="003E06A7">
        <w:rPr>
          <w:rFonts w:ascii="Times New Roman" w:hAnsi="Times New Roman" w:cs="Times New Roman"/>
          <w:sz w:val="24"/>
          <w:szCs w:val="24"/>
        </w:rPr>
        <w:t xml:space="preserve">The six actions derived from the MHTF's historical experiences are presented in Figure 2 as an interconnected framework for advancing occupational therapy in mental health. Together, these actions emphasize sustained organizational engagement, responsive advocacy, workforce </w:t>
      </w:r>
      <w:r w:rsidR="001B1171" w:rsidRPr="003E06A7">
        <w:rPr>
          <w:rFonts w:ascii="Times New Roman" w:hAnsi="Times New Roman" w:cs="Times New Roman"/>
          <w:sz w:val="24"/>
          <w:szCs w:val="24"/>
        </w:rPr>
        <w:t>development</w:t>
      </w:r>
      <w:r w:rsidRPr="003E06A7">
        <w:rPr>
          <w:rFonts w:ascii="Times New Roman" w:hAnsi="Times New Roman" w:cs="Times New Roman"/>
          <w:sz w:val="24"/>
          <w:szCs w:val="24"/>
        </w:rPr>
        <w:t>, practice visibility, mentorship, and accountability.</w:t>
      </w:r>
    </w:p>
    <w:p w14:paraId="4BEFE408" w14:textId="77777777" w:rsidR="00A81E21" w:rsidRPr="00306653" w:rsidRDefault="00A81E21" w:rsidP="00A81E21">
      <w:pPr>
        <w:spacing w:after="0" w:line="480" w:lineRule="auto"/>
        <w:rPr>
          <w:rFonts w:ascii="Times New Roman" w:hAnsi="Times New Roman" w:cs="Times New Roman"/>
          <w:b/>
          <w:bCs/>
          <w:sz w:val="24"/>
          <w:szCs w:val="24"/>
        </w:rPr>
      </w:pPr>
      <w:r w:rsidRPr="00306653">
        <w:rPr>
          <w:rFonts w:ascii="Times New Roman" w:hAnsi="Times New Roman" w:cs="Times New Roman"/>
          <w:b/>
          <w:bCs/>
          <w:sz w:val="24"/>
          <w:szCs w:val="24"/>
        </w:rPr>
        <w:t xml:space="preserve">Figure </w:t>
      </w:r>
      <w:r>
        <w:rPr>
          <w:rFonts w:ascii="Times New Roman" w:hAnsi="Times New Roman" w:cs="Times New Roman"/>
          <w:b/>
          <w:bCs/>
          <w:sz w:val="24"/>
          <w:szCs w:val="24"/>
        </w:rPr>
        <w:t>2</w:t>
      </w:r>
    </w:p>
    <w:p w14:paraId="4D0BDD99" w14:textId="77777777" w:rsidR="00A81E21" w:rsidRPr="00306653" w:rsidRDefault="00A81E21" w:rsidP="00A81E21">
      <w:pPr>
        <w:spacing w:after="0" w:line="480" w:lineRule="auto"/>
        <w:rPr>
          <w:rFonts w:ascii="Times New Roman" w:hAnsi="Times New Roman" w:cs="Times New Roman"/>
          <w:i/>
          <w:iCs/>
          <w:sz w:val="24"/>
          <w:szCs w:val="24"/>
        </w:rPr>
      </w:pPr>
      <w:r w:rsidRPr="00306653">
        <w:rPr>
          <w:rFonts w:ascii="Times New Roman" w:hAnsi="Times New Roman" w:cs="Times New Roman"/>
          <w:i/>
          <w:iCs/>
          <w:sz w:val="24"/>
          <w:szCs w:val="24"/>
        </w:rPr>
        <w:t>Collaborative Framework for Advancing Occupational Therapy in Mental Health</w:t>
      </w:r>
    </w:p>
    <w:p w14:paraId="3630541E" w14:textId="667C5121" w:rsidR="00093D50" w:rsidRPr="00093D50" w:rsidRDefault="00961B4D" w:rsidP="00C7542B">
      <w:pPr>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AAFED5F" wp14:editId="69B2B8F9">
            <wp:extent cx="6228080" cy="3476625"/>
            <wp:effectExtent l="0" t="0" r="127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64009" cy="3496681"/>
                    </a:xfrm>
                    <a:prstGeom prst="rect">
                      <a:avLst/>
                    </a:prstGeom>
                    <a:noFill/>
                  </pic:spPr>
                </pic:pic>
              </a:graphicData>
            </a:graphic>
          </wp:inline>
        </w:drawing>
      </w:r>
    </w:p>
    <w:p w14:paraId="37C71AF5"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b/>
          <w:bCs/>
          <w:sz w:val="24"/>
          <w:szCs w:val="24"/>
        </w:rPr>
        <w:t>Note</w:t>
      </w:r>
      <w:r w:rsidRPr="00306653">
        <w:rPr>
          <w:rFonts w:ascii="Times New Roman" w:hAnsi="Times New Roman" w:cs="Times New Roman"/>
          <w:i/>
          <w:iCs/>
          <w:sz w:val="24"/>
          <w:szCs w:val="24"/>
        </w:rPr>
        <w:t>.</w:t>
      </w:r>
      <w:r w:rsidRPr="00306653">
        <w:rPr>
          <w:rFonts w:ascii="Times New Roman" w:hAnsi="Times New Roman" w:cs="Times New Roman"/>
          <w:sz w:val="24"/>
          <w:szCs w:val="24"/>
        </w:rPr>
        <w:t xml:space="preserve"> Figure generated with an artificial intelligence image-generation tool based on author-developed content and reviewed by the authors for accuracy and alignment with the manuscript.</w:t>
      </w:r>
    </w:p>
    <w:p w14:paraId="6C61F14F" w14:textId="77777777" w:rsidR="00306653" w:rsidRPr="00306653" w:rsidRDefault="00306653" w:rsidP="00C7542B">
      <w:pPr>
        <w:pStyle w:val="Heading2"/>
        <w:spacing w:before="0" w:after="0" w:line="480" w:lineRule="auto"/>
      </w:pPr>
      <w:r w:rsidRPr="00306653">
        <w:lastRenderedPageBreak/>
        <w:t>A Practical Starting Framework</w:t>
      </w:r>
    </w:p>
    <w:p w14:paraId="2D68FDC9" w14:textId="6B91AE98" w:rsidR="00750DB5" w:rsidRPr="003E06A7" w:rsidRDefault="00750DB5" w:rsidP="00093D50">
      <w:pPr>
        <w:spacing w:after="0" w:line="480" w:lineRule="auto"/>
        <w:rPr>
          <w:rFonts w:ascii="Times New Roman" w:hAnsi="Times New Roman" w:cs="Times New Roman"/>
          <w:sz w:val="24"/>
          <w:szCs w:val="24"/>
        </w:rPr>
      </w:pPr>
      <w:r w:rsidRPr="003E06A7">
        <w:rPr>
          <w:rFonts w:ascii="Times New Roman" w:hAnsi="Times New Roman" w:cs="Times New Roman"/>
          <w:sz w:val="24"/>
          <w:szCs w:val="24"/>
        </w:rPr>
        <w:t>The six actions above describe strategic priorities. The following five-step cycle translates them into a practical sequence for implementation:</w:t>
      </w:r>
    </w:p>
    <w:p w14:paraId="55AD760D"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1. Identify a specific gap in policy, workforce, education, or service delivery.</w:t>
      </w:r>
    </w:p>
    <w:p w14:paraId="7A96BA5E"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2. Convene practitioners, educators, students, community partners, and people with relevant lived or systems experience.</w:t>
      </w:r>
    </w:p>
    <w:p w14:paraId="0378ACB3"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3. Gather evidence and examples that connect occupational therapy to the priorities of the intended audience.</w:t>
      </w:r>
    </w:p>
    <w:p w14:paraId="47860EF1"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4. Request a concrete change, such as revised policy language, inclusion in a funding mechanism, a pilot service, or a fieldwork partnership.</w:t>
      </w:r>
    </w:p>
    <w:p w14:paraId="7CF80B10" w14:textId="77777777" w:rsidR="00306653" w:rsidRP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5. Document outcomes, share resources, mentor new contributors, and refine the next priority.</w:t>
      </w:r>
    </w:p>
    <w:p w14:paraId="52CD6B02" w14:textId="4EE3E18C" w:rsid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This cycle can be scaled to a local practice setting, a state association, or a national coalition. The essential elements are a clear purpose, credible evidence, relationships with decision-makers and community partners, and a plan for continuity.</w:t>
      </w:r>
    </w:p>
    <w:p w14:paraId="17509A18" w14:textId="0E468F82" w:rsidR="00750DB5" w:rsidRPr="003E06A7" w:rsidRDefault="00750DB5" w:rsidP="00093D50">
      <w:pPr>
        <w:spacing w:after="0" w:line="480" w:lineRule="auto"/>
        <w:rPr>
          <w:rFonts w:ascii="Times New Roman" w:hAnsi="Times New Roman" w:cs="Times New Roman"/>
          <w:sz w:val="24"/>
          <w:szCs w:val="24"/>
        </w:rPr>
      </w:pPr>
      <w:r w:rsidRPr="003E06A7">
        <w:rPr>
          <w:rFonts w:ascii="Times New Roman" w:hAnsi="Times New Roman" w:cs="Times New Roman"/>
          <w:sz w:val="24"/>
          <w:szCs w:val="24"/>
        </w:rPr>
        <w:t>Limitations and future directions</w:t>
      </w:r>
      <w:r w:rsidR="00CB2E37" w:rsidRPr="003E06A7">
        <w:rPr>
          <w:rFonts w:ascii="Times New Roman" w:hAnsi="Times New Roman" w:cs="Times New Roman"/>
          <w:sz w:val="24"/>
          <w:szCs w:val="24"/>
        </w:rPr>
        <w:t>:</w:t>
      </w:r>
      <w:r w:rsidRPr="003E06A7">
        <w:rPr>
          <w:rFonts w:ascii="Times New Roman" w:hAnsi="Times New Roman" w:cs="Times New Roman"/>
          <w:sz w:val="24"/>
          <w:szCs w:val="24"/>
        </w:rPr>
        <w:t xml:space="preserve"> This account draws on selected records and contributor perspectives from one state; the completeness of the historical record and the attribution of outcomes to any single organization are limited. Differences in regulation, financing, workforce capacity, geography, and association partnerships may affect transferability. Future evaluation could track changes in occupational therapy employment, service access, and policy implementation following specific advocacy milestones, and compare coalition approaches across states.</w:t>
      </w:r>
    </w:p>
    <w:p w14:paraId="2D8F11DB" w14:textId="77777777" w:rsidR="00306653" w:rsidRPr="003E06A7" w:rsidRDefault="00306653" w:rsidP="00093D50">
      <w:pPr>
        <w:pStyle w:val="Heading2"/>
        <w:spacing w:before="0" w:after="0" w:line="480" w:lineRule="auto"/>
      </w:pPr>
      <w:r w:rsidRPr="003E06A7">
        <w:lastRenderedPageBreak/>
        <w:t>Conclusion</w:t>
      </w:r>
    </w:p>
    <w:p w14:paraId="64ACC823" w14:textId="3DFCBEF7" w:rsidR="00306653" w:rsidRPr="00306653" w:rsidRDefault="00F64756" w:rsidP="00093D50">
      <w:pPr>
        <w:spacing w:after="0" w:line="480" w:lineRule="auto"/>
        <w:rPr>
          <w:rFonts w:ascii="Times New Roman" w:hAnsi="Times New Roman" w:cs="Times New Roman"/>
          <w:sz w:val="24"/>
          <w:szCs w:val="24"/>
        </w:rPr>
      </w:pPr>
      <w:r w:rsidRPr="003E06A7">
        <w:rPr>
          <w:rFonts w:ascii="Times New Roman" w:hAnsi="Times New Roman" w:cs="Times New Roman"/>
          <w:sz w:val="24"/>
          <w:szCs w:val="24"/>
        </w:rPr>
        <w:t xml:space="preserve">The NYSOTA MHTF's history from 1995 through 2025 illustrates how sustained, collaborative advocacy may contribute to policy recognition, workforce development, professional education, and the advancement of occupational therapy in mental health practice. </w:t>
      </w:r>
      <w:r w:rsidR="00306653" w:rsidRPr="003E06A7">
        <w:rPr>
          <w:rFonts w:ascii="Times New Roman" w:hAnsi="Times New Roman" w:cs="Times New Roman"/>
          <w:sz w:val="24"/>
          <w:szCs w:val="24"/>
        </w:rPr>
        <w:t xml:space="preserve">Its most transferable </w:t>
      </w:r>
      <w:r w:rsidR="00306653" w:rsidRPr="00306653">
        <w:rPr>
          <w:rFonts w:ascii="Times New Roman" w:hAnsi="Times New Roman" w:cs="Times New Roman"/>
          <w:sz w:val="24"/>
          <w:szCs w:val="24"/>
        </w:rPr>
        <w:t>lesson is that professional visibility must be built through repeated action: listening to system needs, articulating occupational therapy’s distinct value, developing practice capacity, documenting outcomes, and preparing new leaders. State associations and local groups do not need to reproduce the New York model exactly. They can begin with one clearly defined gap, one coalition of committed partners, and one actionable request</w:t>
      </w:r>
      <w:r w:rsidR="00CB2E37">
        <w:rPr>
          <w:rFonts w:ascii="Times New Roman" w:hAnsi="Times New Roman" w:cs="Times New Roman"/>
          <w:sz w:val="24"/>
          <w:szCs w:val="24"/>
        </w:rPr>
        <w:t xml:space="preserve">. </w:t>
      </w:r>
      <w:r w:rsidR="00306653" w:rsidRPr="00306653">
        <w:rPr>
          <w:rFonts w:ascii="Times New Roman" w:hAnsi="Times New Roman" w:cs="Times New Roman"/>
          <w:sz w:val="24"/>
          <w:szCs w:val="24"/>
        </w:rPr>
        <w:t>and then build from the results.</w:t>
      </w:r>
    </w:p>
    <w:p w14:paraId="29337CCE" w14:textId="77777777" w:rsidR="00CA10B2" w:rsidRDefault="00CA10B2" w:rsidP="00093D50">
      <w:pPr>
        <w:spacing w:after="0" w:line="480" w:lineRule="auto"/>
        <w:rPr>
          <w:rFonts w:ascii="Times New Roman" w:hAnsi="Times New Roman" w:cs="Times New Roman"/>
          <w:sz w:val="24"/>
          <w:szCs w:val="24"/>
        </w:rPr>
      </w:pPr>
    </w:p>
    <w:p w14:paraId="5386CECA" w14:textId="729B590B" w:rsid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For questions about collaboration, advocacy initiatives, or NYSOTA MHTF activities, contact </w:t>
      </w:r>
      <w:hyperlink r:id="rId8" w:history="1">
        <w:r w:rsidR="00CA10B2" w:rsidRPr="001D0B2B">
          <w:rPr>
            <w:rStyle w:val="Hyperlink"/>
            <w:rFonts w:ascii="Times New Roman" w:hAnsi="Times New Roman" w:cs="Times New Roman"/>
            <w:sz w:val="24"/>
            <w:szCs w:val="24"/>
          </w:rPr>
          <w:t>mentalhealthtaskforce@gmail.com</w:t>
        </w:r>
      </w:hyperlink>
    </w:p>
    <w:p w14:paraId="75B800AF" w14:textId="77777777" w:rsidR="00306653" w:rsidRPr="00306653" w:rsidRDefault="00306653" w:rsidP="00093D50">
      <w:pPr>
        <w:pStyle w:val="Heading2"/>
        <w:spacing w:before="0" w:after="0" w:line="480" w:lineRule="auto"/>
      </w:pPr>
      <w:r w:rsidRPr="00306653">
        <w:t>AI and Language Model Disclosure</w:t>
      </w:r>
    </w:p>
    <w:p w14:paraId="2EFF2998" w14:textId="6AF29EDB" w:rsid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AI tools were used for organizational and editorial refinement and to generate Figure 1 </w:t>
      </w:r>
      <w:r w:rsidR="008A2AB4">
        <w:rPr>
          <w:rFonts w:ascii="Times New Roman" w:hAnsi="Times New Roman" w:cs="Times New Roman"/>
          <w:sz w:val="24"/>
          <w:szCs w:val="24"/>
        </w:rPr>
        <w:t xml:space="preserve">and 2 </w:t>
      </w:r>
      <w:r w:rsidRPr="00306653">
        <w:rPr>
          <w:rFonts w:ascii="Times New Roman" w:hAnsi="Times New Roman" w:cs="Times New Roman"/>
          <w:sz w:val="24"/>
          <w:szCs w:val="24"/>
        </w:rPr>
        <w:t>from author-developed content. The authors reviewed and verified the manuscript and figure and remain responsible for their accuracy and integrity.</w:t>
      </w:r>
    </w:p>
    <w:p w14:paraId="42AA6629" w14:textId="1E1E113B" w:rsidR="00306653" w:rsidRDefault="00306653" w:rsidP="00093D50">
      <w:pPr>
        <w:spacing w:after="0" w:line="480" w:lineRule="auto"/>
        <w:rPr>
          <w:rFonts w:ascii="Times New Roman" w:hAnsi="Times New Roman" w:cs="Times New Roman"/>
          <w:sz w:val="24"/>
          <w:szCs w:val="24"/>
        </w:rPr>
      </w:pPr>
    </w:p>
    <w:p w14:paraId="0287D237" w14:textId="2F9829ED" w:rsidR="00306653" w:rsidRDefault="00306653" w:rsidP="00093D50">
      <w:pPr>
        <w:spacing w:after="0" w:line="480" w:lineRule="auto"/>
        <w:rPr>
          <w:rFonts w:ascii="Times New Roman" w:hAnsi="Times New Roman" w:cs="Times New Roman"/>
          <w:sz w:val="24"/>
          <w:szCs w:val="24"/>
        </w:rPr>
      </w:pPr>
    </w:p>
    <w:p w14:paraId="7B8D2770" w14:textId="3C75E1D4" w:rsidR="00306653" w:rsidRDefault="00306653" w:rsidP="00093D50">
      <w:pPr>
        <w:spacing w:after="0" w:line="480" w:lineRule="auto"/>
        <w:rPr>
          <w:rFonts w:ascii="Times New Roman" w:hAnsi="Times New Roman" w:cs="Times New Roman"/>
          <w:sz w:val="24"/>
          <w:szCs w:val="24"/>
        </w:rPr>
      </w:pPr>
    </w:p>
    <w:p w14:paraId="116557E3" w14:textId="77E95915" w:rsidR="00093D50" w:rsidRDefault="00093D50" w:rsidP="00093D50">
      <w:pPr>
        <w:spacing w:after="0" w:line="480" w:lineRule="auto"/>
        <w:rPr>
          <w:rFonts w:ascii="Times New Roman" w:hAnsi="Times New Roman" w:cs="Times New Roman"/>
          <w:sz w:val="24"/>
          <w:szCs w:val="24"/>
        </w:rPr>
      </w:pPr>
    </w:p>
    <w:p w14:paraId="7A225449" w14:textId="59314809" w:rsidR="00306653" w:rsidRDefault="00306653" w:rsidP="00093D50">
      <w:pPr>
        <w:spacing w:after="0" w:line="480" w:lineRule="auto"/>
        <w:rPr>
          <w:rFonts w:ascii="Times New Roman" w:hAnsi="Times New Roman" w:cs="Times New Roman"/>
          <w:sz w:val="24"/>
          <w:szCs w:val="24"/>
        </w:rPr>
      </w:pPr>
    </w:p>
    <w:p w14:paraId="52A5776E" w14:textId="77777777" w:rsidR="00CA10B2" w:rsidRDefault="00CA10B2" w:rsidP="00093D50">
      <w:pPr>
        <w:spacing w:after="0" w:line="480" w:lineRule="auto"/>
        <w:rPr>
          <w:rFonts w:ascii="Times New Roman" w:hAnsi="Times New Roman" w:cs="Times New Roman"/>
          <w:sz w:val="24"/>
          <w:szCs w:val="24"/>
        </w:rPr>
      </w:pPr>
    </w:p>
    <w:p w14:paraId="0DEB74FA" w14:textId="77777777" w:rsidR="00306653" w:rsidRPr="00306653" w:rsidRDefault="00306653" w:rsidP="00093D50">
      <w:pPr>
        <w:pStyle w:val="Heading1"/>
        <w:spacing w:before="0"/>
      </w:pPr>
      <w:r w:rsidRPr="00306653">
        <w:lastRenderedPageBreak/>
        <w:t>References</w:t>
      </w:r>
    </w:p>
    <w:p w14:paraId="2E894353" w14:textId="77777777" w:rsidR="00306653" w:rsidRPr="008A2AB4" w:rsidRDefault="00306653" w:rsidP="00093D50">
      <w:pPr>
        <w:spacing w:after="0" w:line="480" w:lineRule="auto"/>
        <w:rPr>
          <w:rFonts w:ascii="Times New Roman" w:hAnsi="Times New Roman" w:cs="Times New Roman"/>
          <w:i/>
          <w:iCs/>
          <w:sz w:val="24"/>
          <w:szCs w:val="24"/>
        </w:rPr>
      </w:pPr>
      <w:r w:rsidRPr="00306653">
        <w:rPr>
          <w:rFonts w:ascii="Times New Roman" w:hAnsi="Times New Roman" w:cs="Times New Roman"/>
          <w:sz w:val="24"/>
          <w:szCs w:val="24"/>
        </w:rPr>
        <w:t xml:space="preserve">Coopersmith, A., Martinez-Almonte, M., &amp; Scott, A. (2025, May 14). </w:t>
      </w:r>
      <w:r w:rsidRPr="008A2AB4">
        <w:rPr>
          <w:rFonts w:ascii="Times New Roman" w:hAnsi="Times New Roman" w:cs="Times New Roman"/>
          <w:i/>
          <w:iCs/>
          <w:sz w:val="24"/>
          <w:szCs w:val="24"/>
        </w:rPr>
        <w:t xml:space="preserve">Fieldwork with feeling: </w:t>
      </w:r>
    </w:p>
    <w:p w14:paraId="6D613B9C" w14:textId="77777777" w:rsidR="00306653" w:rsidRDefault="00306653" w:rsidP="00093D50">
      <w:pPr>
        <w:spacing w:after="0" w:line="480" w:lineRule="auto"/>
        <w:ind w:left="720"/>
        <w:rPr>
          <w:rFonts w:ascii="Times New Roman" w:hAnsi="Times New Roman" w:cs="Times New Roman"/>
          <w:sz w:val="24"/>
          <w:szCs w:val="24"/>
        </w:rPr>
      </w:pPr>
      <w:r w:rsidRPr="008A2AB4">
        <w:rPr>
          <w:rFonts w:ascii="Times New Roman" w:hAnsi="Times New Roman" w:cs="Times New Roman"/>
          <w:i/>
          <w:iCs/>
          <w:sz w:val="24"/>
          <w:szCs w:val="24"/>
        </w:rPr>
        <w:t xml:space="preserve">Empowering OT fieldwork students to support positive mental health in schools </w:t>
      </w:r>
      <w:r w:rsidRPr="00306653">
        <w:rPr>
          <w:rFonts w:ascii="Times New Roman" w:hAnsi="Times New Roman" w:cs="Times New Roman"/>
          <w:sz w:val="24"/>
          <w:szCs w:val="24"/>
        </w:rPr>
        <w:t>[PowerPoint slides]. MOTEC Virtual Meeting. NYSOTA Mental Health MHTF School-Based Team.</w:t>
      </w:r>
    </w:p>
    <w:p w14:paraId="7D08C63E" w14:textId="2573FA97" w:rsidR="00306653" w:rsidRPr="00EA1944" w:rsidRDefault="00306653" w:rsidP="00093D50">
      <w:pPr>
        <w:spacing w:after="0" w:line="480" w:lineRule="auto"/>
        <w:rPr>
          <w:rFonts w:ascii="Times New Roman" w:hAnsi="Times New Roman" w:cs="Times New Roman"/>
          <w:i/>
          <w:iCs/>
          <w:sz w:val="24"/>
          <w:szCs w:val="24"/>
        </w:rPr>
      </w:pPr>
      <w:r w:rsidRPr="00306653">
        <w:rPr>
          <w:rFonts w:ascii="Times New Roman" w:hAnsi="Times New Roman" w:cs="Times New Roman"/>
          <w:sz w:val="24"/>
          <w:szCs w:val="24"/>
        </w:rPr>
        <w:t xml:space="preserve">Donohue, M. V. (2022). </w:t>
      </w:r>
      <w:r w:rsidRPr="00EA1944">
        <w:rPr>
          <w:rFonts w:ascii="Times New Roman" w:hAnsi="Times New Roman" w:cs="Times New Roman"/>
          <w:i/>
          <w:iCs/>
          <w:sz w:val="24"/>
          <w:szCs w:val="24"/>
        </w:rPr>
        <w:t xml:space="preserve">Social Profile: Assessment of social participation in children, </w:t>
      </w:r>
    </w:p>
    <w:p w14:paraId="3F349295" w14:textId="0AE48D2E" w:rsidR="00306653" w:rsidRPr="00306653" w:rsidRDefault="00306653" w:rsidP="00093D50">
      <w:pPr>
        <w:spacing w:after="0" w:line="480" w:lineRule="auto"/>
        <w:ind w:firstLine="720"/>
        <w:rPr>
          <w:rFonts w:ascii="Times New Roman" w:hAnsi="Times New Roman" w:cs="Times New Roman"/>
          <w:sz w:val="24"/>
          <w:szCs w:val="24"/>
        </w:rPr>
      </w:pPr>
      <w:r w:rsidRPr="00EA1944">
        <w:rPr>
          <w:rFonts w:ascii="Times New Roman" w:hAnsi="Times New Roman" w:cs="Times New Roman"/>
          <w:i/>
          <w:iCs/>
          <w:sz w:val="24"/>
          <w:szCs w:val="24"/>
        </w:rPr>
        <w:t>adolescents, and adults.</w:t>
      </w:r>
      <w:r w:rsidRPr="00306653">
        <w:rPr>
          <w:rFonts w:ascii="Times New Roman" w:hAnsi="Times New Roman" w:cs="Times New Roman"/>
          <w:sz w:val="24"/>
          <w:szCs w:val="24"/>
        </w:rPr>
        <w:t xml:space="preserve"> AOTA Press.</w:t>
      </w:r>
    </w:p>
    <w:p w14:paraId="22D8D787" w14:textId="77777777" w:rsidR="00306653" w:rsidRDefault="00306653" w:rsidP="00093D50">
      <w:pPr>
        <w:spacing w:after="0" w:line="480" w:lineRule="auto"/>
        <w:rPr>
          <w:rFonts w:ascii="Times New Roman" w:hAnsi="Times New Roman" w:cs="Times New Roman"/>
          <w:sz w:val="24"/>
          <w:szCs w:val="24"/>
        </w:rPr>
      </w:pPr>
      <w:proofErr w:type="spellStart"/>
      <w:r w:rsidRPr="00306653">
        <w:rPr>
          <w:rFonts w:ascii="Times New Roman" w:hAnsi="Times New Roman" w:cs="Times New Roman"/>
          <w:sz w:val="24"/>
          <w:szCs w:val="24"/>
        </w:rPr>
        <w:t>Haertl</w:t>
      </w:r>
      <w:proofErr w:type="spellEnd"/>
      <w:r w:rsidRPr="00306653">
        <w:rPr>
          <w:rFonts w:ascii="Times New Roman" w:hAnsi="Times New Roman" w:cs="Times New Roman"/>
          <w:sz w:val="24"/>
          <w:szCs w:val="24"/>
        </w:rPr>
        <w:t xml:space="preserve">, K. (2016). Reviving OT’s roots in mental health: Minnesota’s grassroots mental health </w:t>
      </w:r>
    </w:p>
    <w:p w14:paraId="5EE823A9" w14:textId="54AA42FD" w:rsidR="00306653" w:rsidRPr="00306653" w:rsidRDefault="00306653" w:rsidP="00093D50">
      <w:pPr>
        <w:spacing w:after="0" w:line="480" w:lineRule="auto"/>
        <w:ind w:firstLine="720"/>
        <w:rPr>
          <w:rFonts w:ascii="Times New Roman" w:hAnsi="Times New Roman" w:cs="Times New Roman"/>
          <w:sz w:val="24"/>
          <w:szCs w:val="24"/>
        </w:rPr>
      </w:pPr>
      <w:r w:rsidRPr="00306653">
        <w:rPr>
          <w:rFonts w:ascii="Times New Roman" w:hAnsi="Times New Roman" w:cs="Times New Roman"/>
          <w:sz w:val="24"/>
          <w:szCs w:val="24"/>
        </w:rPr>
        <w:t xml:space="preserve">action group. </w:t>
      </w:r>
      <w:r w:rsidRPr="00EA1944">
        <w:rPr>
          <w:rFonts w:ascii="Times New Roman" w:hAnsi="Times New Roman" w:cs="Times New Roman"/>
          <w:i/>
          <w:iCs/>
          <w:sz w:val="24"/>
          <w:szCs w:val="24"/>
        </w:rPr>
        <w:t>OT Practice, 21</w:t>
      </w:r>
      <w:r w:rsidRPr="00306653">
        <w:rPr>
          <w:rFonts w:ascii="Times New Roman" w:hAnsi="Times New Roman" w:cs="Times New Roman"/>
          <w:sz w:val="24"/>
          <w:szCs w:val="24"/>
        </w:rPr>
        <w:t>(21), 13–16.</w:t>
      </w:r>
    </w:p>
    <w:p w14:paraId="64E7B62F" w14:textId="77777777" w:rsidR="00EA1944" w:rsidRDefault="00306653" w:rsidP="00EA1944">
      <w:pPr>
        <w:spacing w:after="0" w:line="480" w:lineRule="auto"/>
        <w:rPr>
          <w:rFonts w:ascii="Times New Roman" w:hAnsi="Times New Roman" w:cs="Times New Roman"/>
          <w:i/>
          <w:iCs/>
          <w:sz w:val="24"/>
          <w:szCs w:val="24"/>
        </w:rPr>
      </w:pPr>
      <w:r w:rsidRPr="00306653">
        <w:rPr>
          <w:rFonts w:ascii="Times New Roman" w:hAnsi="Times New Roman" w:cs="Times New Roman"/>
          <w:sz w:val="24"/>
          <w:szCs w:val="24"/>
        </w:rPr>
        <w:t xml:space="preserve">Merlo, D., </w:t>
      </w:r>
      <w:proofErr w:type="spellStart"/>
      <w:r w:rsidRPr="00306653">
        <w:rPr>
          <w:rFonts w:ascii="Times New Roman" w:hAnsi="Times New Roman" w:cs="Times New Roman"/>
          <w:sz w:val="24"/>
          <w:szCs w:val="24"/>
        </w:rPr>
        <w:t>Nowatniak</w:t>
      </w:r>
      <w:proofErr w:type="spellEnd"/>
      <w:r w:rsidRPr="00306653">
        <w:rPr>
          <w:rFonts w:ascii="Times New Roman" w:hAnsi="Times New Roman" w:cs="Times New Roman"/>
          <w:sz w:val="24"/>
          <w:szCs w:val="24"/>
        </w:rPr>
        <w:t xml:space="preserve">, S., &amp; </w:t>
      </w:r>
      <w:proofErr w:type="spellStart"/>
      <w:r w:rsidRPr="00306653">
        <w:rPr>
          <w:rFonts w:ascii="Times New Roman" w:hAnsi="Times New Roman" w:cs="Times New Roman"/>
          <w:sz w:val="24"/>
          <w:szCs w:val="24"/>
        </w:rPr>
        <w:t>Linkie</w:t>
      </w:r>
      <w:proofErr w:type="spellEnd"/>
      <w:r w:rsidRPr="00306653">
        <w:rPr>
          <w:rFonts w:ascii="Times New Roman" w:hAnsi="Times New Roman" w:cs="Times New Roman"/>
          <w:sz w:val="24"/>
          <w:szCs w:val="24"/>
        </w:rPr>
        <w:t xml:space="preserve">, C. (2025, May 14). </w:t>
      </w:r>
      <w:r w:rsidRPr="00EA1944">
        <w:rPr>
          <w:rFonts w:ascii="Times New Roman" w:hAnsi="Times New Roman" w:cs="Times New Roman"/>
          <w:i/>
          <w:iCs/>
          <w:sz w:val="24"/>
          <w:szCs w:val="24"/>
        </w:rPr>
        <w:t xml:space="preserve">OTs recognized as licensed </w:t>
      </w:r>
    </w:p>
    <w:p w14:paraId="36DE9D2D" w14:textId="77777777" w:rsidR="00EA1944" w:rsidRDefault="00306653" w:rsidP="00093D50">
      <w:pPr>
        <w:spacing w:after="0" w:line="480" w:lineRule="auto"/>
        <w:ind w:firstLine="720"/>
        <w:rPr>
          <w:rFonts w:ascii="Times New Roman" w:hAnsi="Times New Roman" w:cs="Times New Roman"/>
          <w:sz w:val="24"/>
          <w:szCs w:val="24"/>
        </w:rPr>
      </w:pPr>
      <w:r w:rsidRPr="00EA1944">
        <w:rPr>
          <w:rFonts w:ascii="Times New Roman" w:hAnsi="Times New Roman" w:cs="Times New Roman"/>
          <w:i/>
          <w:iCs/>
          <w:sz w:val="24"/>
          <w:szCs w:val="24"/>
        </w:rPr>
        <w:t>practitioners of the healing arts in NYS PROS programs.</w:t>
      </w:r>
      <w:r w:rsidRPr="00306653">
        <w:rPr>
          <w:rFonts w:ascii="Times New Roman" w:hAnsi="Times New Roman" w:cs="Times New Roman"/>
          <w:sz w:val="24"/>
          <w:szCs w:val="24"/>
        </w:rPr>
        <w:t xml:space="preserve"> New York State Occupational </w:t>
      </w:r>
    </w:p>
    <w:p w14:paraId="0AACF9D1" w14:textId="7E30F2C6" w:rsidR="00306653" w:rsidRDefault="00306653" w:rsidP="00093D50">
      <w:pPr>
        <w:spacing w:after="0" w:line="480" w:lineRule="auto"/>
        <w:ind w:firstLine="720"/>
        <w:rPr>
          <w:rFonts w:ascii="Times New Roman" w:hAnsi="Times New Roman" w:cs="Times New Roman"/>
          <w:sz w:val="24"/>
          <w:szCs w:val="24"/>
        </w:rPr>
      </w:pPr>
      <w:r w:rsidRPr="00306653">
        <w:rPr>
          <w:rFonts w:ascii="Times New Roman" w:hAnsi="Times New Roman" w:cs="Times New Roman"/>
          <w:sz w:val="24"/>
          <w:szCs w:val="24"/>
        </w:rPr>
        <w:t xml:space="preserve">Therapy Association. </w:t>
      </w:r>
      <w:hyperlink r:id="rId9" w:history="1">
        <w:r w:rsidRPr="00755A94">
          <w:rPr>
            <w:rStyle w:val="Hyperlink"/>
            <w:rFonts w:ascii="Times New Roman" w:hAnsi="Times New Roman" w:cs="Times New Roman"/>
            <w:sz w:val="24"/>
            <w:szCs w:val="24"/>
          </w:rPr>
          <w:t>https://www.nysota.org/news/news.asp?id=700760</w:t>
        </w:r>
      </w:hyperlink>
    </w:p>
    <w:p w14:paraId="0013C891" w14:textId="77777777" w:rsidR="00EA1944"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New York City Mayor’s Office. (2025, January 2). </w:t>
      </w:r>
      <w:r w:rsidRPr="00EA1944">
        <w:rPr>
          <w:rFonts w:ascii="Times New Roman" w:hAnsi="Times New Roman" w:cs="Times New Roman"/>
          <w:i/>
          <w:iCs/>
          <w:sz w:val="24"/>
          <w:szCs w:val="24"/>
        </w:rPr>
        <w:t>Behavioral Health Career Roadmap.</w:t>
      </w:r>
      <w:r w:rsidRPr="00306653">
        <w:rPr>
          <w:rFonts w:ascii="Times New Roman" w:hAnsi="Times New Roman" w:cs="Times New Roman"/>
          <w:sz w:val="24"/>
          <w:szCs w:val="24"/>
        </w:rPr>
        <w:t xml:space="preserve"> </w:t>
      </w:r>
    </w:p>
    <w:p w14:paraId="28F87E39" w14:textId="0D47F270" w:rsidR="00306653" w:rsidRDefault="00157577" w:rsidP="00EA1944">
      <w:pPr>
        <w:spacing w:after="0" w:line="480" w:lineRule="auto"/>
        <w:ind w:firstLine="720"/>
        <w:rPr>
          <w:rFonts w:ascii="Times New Roman" w:hAnsi="Times New Roman" w:cs="Times New Roman"/>
          <w:sz w:val="24"/>
          <w:szCs w:val="24"/>
        </w:rPr>
      </w:pPr>
      <w:hyperlink r:id="rId10" w:history="1">
        <w:r w:rsidR="00EA1944" w:rsidRPr="001D0B2B">
          <w:rPr>
            <w:rStyle w:val="Hyperlink"/>
            <w:rFonts w:ascii="Times New Roman" w:hAnsi="Times New Roman" w:cs="Times New Roman"/>
            <w:sz w:val="24"/>
            <w:szCs w:val="24"/>
          </w:rPr>
          <w:t>https://mentalhealth.cityofnewyork.us/workforce-career-roadmap</w:t>
        </w:r>
      </w:hyperlink>
    </w:p>
    <w:p w14:paraId="6C5ADD5C" w14:textId="77777777" w:rsidR="00306653" w:rsidRPr="00EA1944" w:rsidRDefault="00306653" w:rsidP="00093D50">
      <w:pPr>
        <w:spacing w:after="0" w:line="480" w:lineRule="auto"/>
        <w:rPr>
          <w:rFonts w:ascii="Times New Roman" w:hAnsi="Times New Roman" w:cs="Times New Roman"/>
          <w:i/>
          <w:iCs/>
          <w:sz w:val="24"/>
          <w:szCs w:val="24"/>
        </w:rPr>
      </w:pPr>
      <w:r w:rsidRPr="00306653">
        <w:rPr>
          <w:rFonts w:ascii="Times New Roman" w:hAnsi="Times New Roman" w:cs="Times New Roman"/>
          <w:sz w:val="24"/>
          <w:szCs w:val="24"/>
        </w:rPr>
        <w:t xml:space="preserve">New York State Occupational Therapy Association. (2025). </w:t>
      </w:r>
      <w:r w:rsidRPr="00EA1944">
        <w:rPr>
          <w:rFonts w:ascii="Times New Roman" w:hAnsi="Times New Roman" w:cs="Times New Roman"/>
          <w:i/>
          <w:iCs/>
          <w:sz w:val="24"/>
          <w:szCs w:val="24"/>
        </w:rPr>
        <w:t xml:space="preserve">Mental Health MHTF: Celebrating </w:t>
      </w:r>
    </w:p>
    <w:p w14:paraId="600F2C7E" w14:textId="0390FD87" w:rsidR="00306653" w:rsidRPr="00306653" w:rsidRDefault="00306653" w:rsidP="00093D50">
      <w:pPr>
        <w:spacing w:after="0" w:line="480" w:lineRule="auto"/>
        <w:ind w:firstLine="720"/>
        <w:rPr>
          <w:rFonts w:ascii="Times New Roman" w:hAnsi="Times New Roman" w:cs="Times New Roman"/>
          <w:sz w:val="24"/>
          <w:szCs w:val="24"/>
        </w:rPr>
      </w:pPr>
      <w:r w:rsidRPr="00EA1944">
        <w:rPr>
          <w:rFonts w:ascii="Times New Roman" w:hAnsi="Times New Roman" w:cs="Times New Roman"/>
          <w:i/>
          <w:iCs/>
          <w:sz w:val="24"/>
          <w:szCs w:val="24"/>
        </w:rPr>
        <w:t>30 years of advocacy and impact</w:t>
      </w:r>
      <w:r w:rsidRPr="00306653">
        <w:rPr>
          <w:rFonts w:ascii="Times New Roman" w:hAnsi="Times New Roman" w:cs="Times New Roman"/>
          <w:sz w:val="24"/>
          <w:szCs w:val="24"/>
        </w:rPr>
        <w:t xml:space="preserve"> [Presentation].</w:t>
      </w:r>
    </w:p>
    <w:p w14:paraId="78F438C5" w14:textId="77777777" w:rsidR="00306653" w:rsidRDefault="00306653" w:rsidP="00093D50">
      <w:pPr>
        <w:spacing w:after="0" w:line="480" w:lineRule="auto"/>
        <w:rPr>
          <w:rFonts w:ascii="Times New Roman" w:hAnsi="Times New Roman" w:cs="Times New Roman"/>
          <w:sz w:val="24"/>
          <w:szCs w:val="24"/>
        </w:rPr>
      </w:pPr>
      <w:proofErr w:type="spellStart"/>
      <w:r w:rsidRPr="00306653">
        <w:rPr>
          <w:rFonts w:ascii="Times New Roman" w:hAnsi="Times New Roman" w:cs="Times New Roman"/>
          <w:sz w:val="24"/>
          <w:szCs w:val="24"/>
        </w:rPr>
        <w:t>Ozelie</w:t>
      </w:r>
      <w:proofErr w:type="spellEnd"/>
      <w:r w:rsidRPr="00306653">
        <w:rPr>
          <w:rFonts w:ascii="Times New Roman" w:hAnsi="Times New Roman" w:cs="Times New Roman"/>
          <w:sz w:val="24"/>
          <w:szCs w:val="24"/>
        </w:rPr>
        <w:t xml:space="preserve">, R., </w:t>
      </w:r>
      <w:proofErr w:type="spellStart"/>
      <w:r w:rsidRPr="00306653">
        <w:rPr>
          <w:rFonts w:ascii="Times New Roman" w:hAnsi="Times New Roman" w:cs="Times New Roman"/>
          <w:sz w:val="24"/>
          <w:szCs w:val="24"/>
        </w:rPr>
        <w:t>Delehoy</w:t>
      </w:r>
      <w:proofErr w:type="spellEnd"/>
      <w:r w:rsidRPr="00306653">
        <w:rPr>
          <w:rFonts w:ascii="Times New Roman" w:hAnsi="Times New Roman" w:cs="Times New Roman"/>
          <w:sz w:val="24"/>
          <w:szCs w:val="24"/>
        </w:rPr>
        <w:t xml:space="preserve">, M., Jones, S., </w:t>
      </w:r>
      <w:proofErr w:type="spellStart"/>
      <w:r w:rsidRPr="00306653">
        <w:rPr>
          <w:rFonts w:ascii="Times New Roman" w:hAnsi="Times New Roman" w:cs="Times New Roman"/>
          <w:sz w:val="24"/>
          <w:szCs w:val="24"/>
        </w:rPr>
        <w:t>Sykstus</w:t>
      </w:r>
      <w:proofErr w:type="spellEnd"/>
      <w:r w:rsidRPr="00306653">
        <w:rPr>
          <w:rFonts w:ascii="Times New Roman" w:hAnsi="Times New Roman" w:cs="Times New Roman"/>
          <w:sz w:val="24"/>
          <w:szCs w:val="24"/>
        </w:rPr>
        <w:t xml:space="preserve">, E., &amp; Weil, V. (2019). Accommodation use by </w:t>
      </w:r>
    </w:p>
    <w:p w14:paraId="412ACB2B" w14:textId="67D1C6B0" w:rsidR="00306653" w:rsidRDefault="00306653" w:rsidP="00093D50">
      <w:pPr>
        <w:spacing w:after="0" w:line="480" w:lineRule="auto"/>
        <w:ind w:left="720"/>
        <w:rPr>
          <w:rFonts w:ascii="Times New Roman" w:hAnsi="Times New Roman" w:cs="Times New Roman"/>
          <w:sz w:val="24"/>
          <w:szCs w:val="24"/>
        </w:rPr>
      </w:pPr>
      <w:r w:rsidRPr="00306653">
        <w:rPr>
          <w:rFonts w:ascii="Times New Roman" w:hAnsi="Times New Roman" w:cs="Times New Roman"/>
          <w:sz w:val="24"/>
          <w:szCs w:val="24"/>
        </w:rPr>
        <w:t xml:space="preserve">individuals with disabilities in occupational therapy fieldwork. </w:t>
      </w:r>
      <w:r w:rsidRPr="00EA1944">
        <w:rPr>
          <w:rFonts w:ascii="Times New Roman" w:hAnsi="Times New Roman" w:cs="Times New Roman"/>
          <w:i/>
          <w:iCs/>
          <w:sz w:val="24"/>
          <w:szCs w:val="24"/>
        </w:rPr>
        <w:t>Journal of Occupational Therapy Education, 3</w:t>
      </w:r>
      <w:r w:rsidRPr="00306653">
        <w:rPr>
          <w:rFonts w:ascii="Times New Roman" w:hAnsi="Times New Roman" w:cs="Times New Roman"/>
          <w:sz w:val="24"/>
          <w:szCs w:val="24"/>
        </w:rPr>
        <w:t xml:space="preserve">(4). </w:t>
      </w:r>
      <w:r w:rsidR="00EA1944">
        <w:rPr>
          <w:rFonts w:ascii="Times New Roman" w:hAnsi="Times New Roman" w:cs="Times New Roman"/>
          <w:sz w:val="24"/>
          <w:szCs w:val="24"/>
        </w:rPr>
        <w:t xml:space="preserve">Article 7. </w:t>
      </w:r>
      <w:hyperlink r:id="rId11" w:history="1">
        <w:r w:rsidR="00EA1944" w:rsidRPr="001D0B2B">
          <w:rPr>
            <w:rStyle w:val="Hyperlink"/>
            <w:rFonts w:ascii="Times New Roman" w:hAnsi="Times New Roman" w:cs="Times New Roman"/>
            <w:sz w:val="24"/>
            <w:szCs w:val="24"/>
          </w:rPr>
          <w:t>https://doi.org/10.26681/jote.2019.030407</w:t>
        </w:r>
      </w:hyperlink>
    </w:p>
    <w:p w14:paraId="368C9640" w14:textId="77777777" w:rsid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Raphael-Greenfield, E., &amp; </w:t>
      </w:r>
      <w:proofErr w:type="spellStart"/>
      <w:r w:rsidRPr="00306653">
        <w:rPr>
          <w:rFonts w:ascii="Times New Roman" w:hAnsi="Times New Roman" w:cs="Times New Roman"/>
          <w:sz w:val="24"/>
          <w:szCs w:val="24"/>
        </w:rPr>
        <w:t>Grajo</w:t>
      </w:r>
      <w:proofErr w:type="spellEnd"/>
      <w:r w:rsidRPr="00306653">
        <w:rPr>
          <w:rFonts w:ascii="Times New Roman" w:hAnsi="Times New Roman" w:cs="Times New Roman"/>
          <w:sz w:val="24"/>
          <w:szCs w:val="24"/>
        </w:rPr>
        <w:t xml:space="preserve">, L. C. (2021). The clinical utility of the Dream Home </w:t>
      </w:r>
    </w:p>
    <w:p w14:paraId="21C111F5" w14:textId="6B5C133F" w:rsidR="00306653" w:rsidRDefault="00306653" w:rsidP="00093D50">
      <w:pPr>
        <w:spacing w:after="0" w:line="480" w:lineRule="auto"/>
        <w:ind w:left="720"/>
        <w:rPr>
          <w:rFonts w:ascii="Times New Roman" w:hAnsi="Times New Roman" w:cs="Times New Roman"/>
          <w:sz w:val="24"/>
          <w:szCs w:val="24"/>
        </w:rPr>
      </w:pPr>
      <w:r w:rsidRPr="00306653">
        <w:rPr>
          <w:rFonts w:ascii="Times New Roman" w:hAnsi="Times New Roman" w:cs="Times New Roman"/>
          <w:sz w:val="24"/>
          <w:szCs w:val="24"/>
        </w:rPr>
        <w:t xml:space="preserve">Assessment: An occupational therapy evaluation of executive functioning. </w:t>
      </w:r>
      <w:r w:rsidRPr="00EA1944">
        <w:rPr>
          <w:rFonts w:ascii="Times New Roman" w:hAnsi="Times New Roman" w:cs="Times New Roman"/>
          <w:i/>
          <w:iCs/>
          <w:sz w:val="24"/>
          <w:szCs w:val="24"/>
        </w:rPr>
        <w:t>Occupational Therapy in Mental Health, 37</w:t>
      </w:r>
      <w:r w:rsidRPr="00306653">
        <w:rPr>
          <w:rFonts w:ascii="Times New Roman" w:hAnsi="Times New Roman" w:cs="Times New Roman"/>
          <w:sz w:val="24"/>
          <w:szCs w:val="24"/>
        </w:rPr>
        <w:t xml:space="preserve">(4), 370–385. </w:t>
      </w:r>
      <w:hyperlink r:id="rId12" w:history="1">
        <w:r w:rsidRPr="00755A94">
          <w:rPr>
            <w:rStyle w:val="Hyperlink"/>
            <w:rFonts w:ascii="Times New Roman" w:hAnsi="Times New Roman" w:cs="Times New Roman"/>
            <w:sz w:val="24"/>
            <w:szCs w:val="24"/>
          </w:rPr>
          <w:t>https://doi.org/10.1080/0164212X.2021.1944103</w:t>
        </w:r>
      </w:hyperlink>
    </w:p>
    <w:p w14:paraId="0253EF66" w14:textId="77777777" w:rsid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lastRenderedPageBreak/>
        <w:t xml:space="preserve">SUNY Downstate Health Sciences University. (n.d.). </w:t>
      </w:r>
      <w:r w:rsidRPr="00EA1944">
        <w:rPr>
          <w:rFonts w:ascii="Times New Roman" w:hAnsi="Times New Roman" w:cs="Times New Roman"/>
          <w:i/>
          <w:iCs/>
          <w:sz w:val="24"/>
          <w:szCs w:val="24"/>
        </w:rPr>
        <w:t>OTs walk with NAMI.</w:t>
      </w:r>
      <w:r w:rsidRPr="00306653">
        <w:rPr>
          <w:rFonts w:ascii="Times New Roman" w:hAnsi="Times New Roman" w:cs="Times New Roman"/>
          <w:sz w:val="24"/>
          <w:szCs w:val="24"/>
        </w:rPr>
        <w:t xml:space="preserve"> School of Health </w:t>
      </w:r>
    </w:p>
    <w:p w14:paraId="06DA959C" w14:textId="56DF32B6" w:rsidR="00306653" w:rsidRDefault="00306653" w:rsidP="00093D50">
      <w:pPr>
        <w:spacing w:after="0" w:line="480" w:lineRule="auto"/>
        <w:ind w:left="720"/>
        <w:rPr>
          <w:rFonts w:ascii="Times New Roman" w:hAnsi="Times New Roman" w:cs="Times New Roman"/>
          <w:sz w:val="24"/>
          <w:szCs w:val="24"/>
        </w:rPr>
      </w:pPr>
      <w:r w:rsidRPr="00306653">
        <w:rPr>
          <w:rFonts w:ascii="Times New Roman" w:hAnsi="Times New Roman" w:cs="Times New Roman"/>
          <w:sz w:val="24"/>
          <w:szCs w:val="24"/>
        </w:rPr>
        <w:t xml:space="preserve">Professions, Occupational Therapy Program. </w:t>
      </w:r>
      <w:hyperlink r:id="rId13" w:history="1">
        <w:r w:rsidRPr="00755A94">
          <w:rPr>
            <w:rStyle w:val="Hyperlink"/>
            <w:rFonts w:ascii="Times New Roman" w:hAnsi="Times New Roman" w:cs="Times New Roman"/>
            <w:sz w:val="24"/>
            <w:szCs w:val="24"/>
          </w:rPr>
          <w:t>https://www.downstate.edu/education-training/school-of-health-professions/programs/occupational-therapy/community-engagement/nami.html</w:t>
        </w:r>
      </w:hyperlink>
    </w:p>
    <w:p w14:paraId="31CC0A22" w14:textId="77777777" w:rsid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Tewfik, D. B., &amp; Scott, A. H. (2022). Highlighting OT’s role in mental health: An innovative </w:t>
      </w:r>
    </w:p>
    <w:p w14:paraId="0AAA3E98" w14:textId="01263501" w:rsidR="00306653" w:rsidRPr="00306653" w:rsidRDefault="00306653" w:rsidP="00093D50">
      <w:pPr>
        <w:spacing w:after="0" w:line="480" w:lineRule="auto"/>
        <w:ind w:firstLine="720"/>
        <w:rPr>
          <w:rFonts w:ascii="Times New Roman" w:hAnsi="Times New Roman" w:cs="Times New Roman"/>
          <w:sz w:val="24"/>
          <w:szCs w:val="24"/>
        </w:rPr>
      </w:pPr>
      <w:r w:rsidRPr="00306653">
        <w:rPr>
          <w:rFonts w:ascii="Times New Roman" w:hAnsi="Times New Roman" w:cs="Times New Roman"/>
          <w:sz w:val="24"/>
          <w:szCs w:val="24"/>
        </w:rPr>
        <w:t>fieldwork program for community-based mental health</w:t>
      </w:r>
      <w:r w:rsidRPr="00EA1944">
        <w:rPr>
          <w:rFonts w:ascii="Times New Roman" w:hAnsi="Times New Roman" w:cs="Times New Roman"/>
          <w:i/>
          <w:iCs/>
          <w:sz w:val="24"/>
          <w:szCs w:val="24"/>
        </w:rPr>
        <w:t>. OT Practice, 27</w:t>
      </w:r>
      <w:r w:rsidRPr="00306653">
        <w:rPr>
          <w:rFonts w:ascii="Times New Roman" w:hAnsi="Times New Roman" w:cs="Times New Roman"/>
          <w:sz w:val="24"/>
          <w:szCs w:val="24"/>
        </w:rPr>
        <w:t>(9), 18–21.</w:t>
      </w:r>
    </w:p>
    <w:p w14:paraId="1079B5FC" w14:textId="77777777" w:rsid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White, S. (2007). Let’s get organized: An intervention for persons with co-occurring disorders. </w:t>
      </w:r>
    </w:p>
    <w:p w14:paraId="402FF42F" w14:textId="158121CF" w:rsidR="00306653" w:rsidRDefault="00306653" w:rsidP="00093D50">
      <w:pPr>
        <w:spacing w:after="0" w:line="480" w:lineRule="auto"/>
        <w:ind w:firstLine="720"/>
        <w:rPr>
          <w:rFonts w:ascii="Times New Roman" w:hAnsi="Times New Roman" w:cs="Times New Roman"/>
          <w:sz w:val="24"/>
          <w:szCs w:val="24"/>
        </w:rPr>
      </w:pPr>
      <w:r w:rsidRPr="00EA1944">
        <w:rPr>
          <w:rFonts w:ascii="Times New Roman" w:hAnsi="Times New Roman" w:cs="Times New Roman"/>
          <w:i/>
          <w:iCs/>
          <w:sz w:val="24"/>
          <w:szCs w:val="24"/>
        </w:rPr>
        <w:t>Psychiatric Services, 58</w:t>
      </w:r>
      <w:r w:rsidRPr="00306653">
        <w:rPr>
          <w:rFonts w:ascii="Times New Roman" w:hAnsi="Times New Roman" w:cs="Times New Roman"/>
          <w:sz w:val="24"/>
          <w:szCs w:val="24"/>
        </w:rPr>
        <w:t xml:space="preserve">(5), 713. </w:t>
      </w:r>
      <w:hyperlink r:id="rId14" w:history="1">
        <w:r w:rsidRPr="00755A94">
          <w:rPr>
            <w:rStyle w:val="Hyperlink"/>
            <w:rFonts w:ascii="Times New Roman" w:hAnsi="Times New Roman" w:cs="Times New Roman"/>
            <w:sz w:val="24"/>
            <w:szCs w:val="24"/>
          </w:rPr>
          <w:t>https://doi.org/10.1176/ps.2007.58.5.713</w:t>
        </w:r>
      </w:hyperlink>
    </w:p>
    <w:p w14:paraId="68A2BE4C" w14:textId="77777777" w:rsidR="00306653" w:rsidRDefault="00306653" w:rsidP="00093D50">
      <w:pPr>
        <w:spacing w:after="0" w:line="480" w:lineRule="auto"/>
        <w:rPr>
          <w:rFonts w:ascii="Times New Roman" w:hAnsi="Times New Roman" w:cs="Times New Roman"/>
          <w:sz w:val="24"/>
          <w:szCs w:val="24"/>
        </w:rPr>
      </w:pPr>
      <w:r w:rsidRPr="00306653">
        <w:rPr>
          <w:rFonts w:ascii="Times New Roman" w:hAnsi="Times New Roman" w:cs="Times New Roman"/>
          <w:sz w:val="24"/>
          <w:szCs w:val="24"/>
        </w:rPr>
        <w:t xml:space="preserve">Wilburn, V. G., Hoss, A., </w:t>
      </w:r>
      <w:proofErr w:type="spellStart"/>
      <w:r w:rsidRPr="00306653">
        <w:rPr>
          <w:rFonts w:ascii="Times New Roman" w:hAnsi="Times New Roman" w:cs="Times New Roman"/>
          <w:sz w:val="24"/>
          <w:szCs w:val="24"/>
        </w:rPr>
        <w:t>Pudeler</w:t>
      </w:r>
      <w:proofErr w:type="spellEnd"/>
      <w:r w:rsidRPr="00306653">
        <w:rPr>
          <w:rFonts w:ascii="Times New Roman" w:hAnsi="Times New Roman" w:cs="Times New Roman"/>
          <w:sz w:val="24"/>
          <w:szCs w:val="24"/>
        </w:rPr>
        <w:t xml:space="preserve">, M., </w:t>
      </w:r>
      <w:proofErr w:type="spellStart"/>
      <w:r w:rsidRPr="00306653">
        <w:rPr>
          <w:rFonts w:ascii="Times New Roman" w:hAnsi="Times New Roman" w:cs="Times New Roman"/>
          <w:sz w:val="24"/>
          <w:szCs w:val="24"/>
        </w:rPr>
        <w:t>Beukema</w:t>
      </w:r>
      <w:proofErr w:type="spellEnd"/>
      <w:r w:rsidRPr="00306653">
        <w:rPr>
          <w:rFonts w:ascii="Times New Roman" w:hAnsi="Times New Roman" w:cs="Times New Roman"/>
          <w:sz w:val="24"/>
          <w:szCs w:val="24"/>
        </w:rPr>
        <w:t xml:space="preserve">, E., </w:t>
      </w:r>
      <w:proofErr w:type="spellStart"/>
      <w:r w:rsidRPr="00306653">
        <w:rPr>
          <w:rFonts w:ascii="Times New Roman" w:hAnsi="Times New Roman" w:cs="Times New Roman"/>
          <w:sz w:val="24"/>
          <w:szCs w:val="24"/>
        </w:rPr>
        <w:t>Rothenbuhler</w:t>
      </w:r>
      <w:proofErr w:type="spellEnd"/>
      <w:r w:rsidRPr="00306653">
        <w:rPr>
          <w:rFonts w:ascii="Times New Roman" w:hAnsi="Times New Roman" w:cs="Times New Roman"/>
          <w:sz w:val="24"/>
          <w:szCs w:val="24"/>
        </w:rPr>
        <w:t xml:space="preserve">, C., &amp; Stoll, H. B. (2021). </w:t>
      </w:r>
    </w:p>
    <w:p w14:paraId="006F52D1" w14:textId="172C6965" w:rsidR="00306653" w:rsidRDefault="00306653" w:rsidP="00093D50">
      <w:pPr>
        <w:spacing w:after="0" w:line="480" w:lineRule="auto"/>
        <w:ind w:left="720"/>
        <w:rPr>
          <w:rFonts w:ascii="Times New Roman" w:hAnsi="Times New Roman" w:cs="Times New Roman"/>
          <w:sz w:val="24"/>
          <w:szCs w:val="24"/>
        </w:rPr>
      </w:pPr>
      <w:r w:rsidRPr="00306653">
        <w:rPr>
          <w:rFonts w:ascii="Times New Roman" w:hAnsi="Times New Roman" w:cs="Times New Roman"/>
          <w:sz w:val="24"/>
          <w:szCs w:val="24"/>
        </w:rPr>
        <w:t xml:space="preserve">Health Policy Perspectives—Receiving recognition: A case for occupational therapy practitioners as mental and behavioral health providers. </w:t>
      </w:r>
      <w:r w:rsidRPr="00EA1944">
        <w:rPr>
          <w:rFonts w:ascii="Times New Roman" w:hAnsi="Times New Roman" w:cs="Times New Roman"/>
          <w:i/>
          <w:iCs/>
          <w:sz w:val="24"/>
          <w:szCs w:val="24"/>
        </w:rPr>
        <w:t>American Journal of Occupational Therapy, 75</w:t>
      </w:r>
      <w:r w:rsidR="00EA1944">
        <w:rPr>
          <w:rFonts w:ascii="Times New Roman" w:hAnsi="Times New Roman" w:cs="Times New Roman"/>
          <w:sz w:val="24"/>
          <w:szCs w:val="24"/>
        </w:rPr>
        <w:t>(5)</w:t>
      </w:r>
      <w:r w:rsidRPr="00306653">
        <w:rPr>
          <w:rFonts w:ascii="Times New Roman" w:hAnsi="Times New Roman" w:cs="Times New Roman"/>
          <w:sz w:val="24"/>
          <w:szCs w:val="24"/>
        </w:rPr>
        <w:t xml:space="preserve">, 7505090010. </w:t>
      </w:r>
      <w:hyperlink r:id="rId15" w:history="1">
        <w:r w:rsidRPr="00755A94">
          <w:rPr>
            <w:rStyle w:val="Hyperlink"/>
            <w:rFonts w:ascii="Times New Roman" w:hAnsi="Times New Roman" w:cs="Times New Roman"/>
            <w:sz w:val="24"/>
            <w:szCs w:val="24"/>
          </w:rPr>
          <w:t>https://doi.org/10.5014/ajot.2021.044727</w:t>
        </w:r>
      </w:hyperlink>
    </w:p>
    <w:p w14:paraId="21B02345" w14:textId="77777777" w:rsidR="00306653" w:rsidRPr="00306653" w:rsidRDefault="00306653" w:rsidP="00093D50">
      <w:pPr>
        <w:spacing w:after="0" w:line="480" w:lineRule="auto"/>
        <w:ind w:left="720"/>
        <w:rPr>
          <w:rFonts w:ascii="Times New Roman" w:hAnsi="Times New Roman" w:cs="Times New Roman"/>
          <w:sz w:val="24"/>
          <w:szCs w:val="24"/>
        </w:rPr>
      </w:pPr>
    </w:p>
    <w:sectPr w:rsidR="00306653" w:rsidRPr="00306653">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43490" w14:textId="77777777" w:rsidR="00157577" w:rsidRDefault="00157577" w:rsidP="00AB0458">
      <w:pPr>
        <w:spacing w:after="0" w:line="240" w:lineRule="auto"/>
      </w:pPr>
      <w:r>
        <w:separator/>
      </w:r>
    </w:p>
  </w:endnote>
  <w:endnote w:type="continuationSeparator" w:id="0">
    <w:p w14:paraId="74AB8676" w14:textId="77777777" w:rsidR="00157577" w:rsidRDefault="00157577" w:rsidP="00AB0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B7C63" w14:textId="77777777" w:rsidR="00AB0458" w:rsidRDefault="00AB0458">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A5E645" w14:textId="77777777" w:rsidR="00AB0458" w:rsidRDefault="00AB0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1B04E" w14:textId="77777777" w:rsidR="00157577" w:rsidRDefault="00157577" w:rsidP="00AB0458">
      <w:pPr>
        <w:spacing w:after="0" w:line="240" w:lineRule="auto"/>
      </w:pPr>
      <w:r>
        <w:separator/>
      </w:r>
    </w:p>
  </w:footnote>
  <w:footnote w:type="continuationSeparator" w:id="0">
    <w:p w14:paraId="3DF39645" w14:textId="77777777" w:rsidR="00157577" w:rsidRDefault="00157577" w:rsidP="00AB04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653"/>
    <w:rsid w:val="00093D50"/>
    <w:rsid w:val="00157577"/>
    <w:rsid w:val="001B1171"/>
    <w:rsid w:val="001B5FAA"/>
    <w:rsid w:val="00306653"/>
    <w:rsid w:val="00387216"/>
    <w:rsid w:val="003E06A7"/>
    <w:rsid w:val="00465A55"/>
    <w:rsid w:val="00750DB5"/>
    <w:rsid w:val="007B00ED"/>
    <w:rsid w:val="008A2AB4"/>
    <w:rsid w:val="00961B4D"/>
    <w:rsid w:val="00A55C1B"/>
    <w:rsid w:val="00A81E21"/>
    <w:rsid w:val="00AA7D73"/>
    <w:rsid w:val="00AB0458"/>
    <w:rsid w:val="00B52F77"/>
    <w:rsid w:val="00B7332D"/>
    <w:rsid w:val="00C7542B"/>
    <w:rsid w:val="00CA10B2"/>
    <w:rsid w:val="00CB2E37"/>
    <w:rsid w:val="00D6340B"/>
    <w:rsid w:val="00E37874"/>
    <w:rsid w:val="00EA1944"/>
    <w:rsid w:val="00F64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F4F8"/>
  <w15:chartTrackingRefBased/>
  <w15:docId w15:val="{578B9E6F-2E7F-4528-9AB1-EEBB3CC75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306653"/>
    <w:pPr>
      <w:keepNext/>
      <w:keepLines/>
      <w:spacing w:before="480" w:after="0" w:line="480" w:lineRule="auto"/>
      <w:jc w:val="center"/>
      <w:outlineLvl w:val="0"/>
    </w:pPr>
    <w:rPr>
      <w:rFonts w:ascii="Times New Roman" w:eastAsiaTheme="majorEastAsia" w:hAnsi="Times New Roman" w:cs="Times New Roman"/>
      <w:b/>
      <w:bCs/>
      <w:sz w:val="28"/>
      <w:szCs w:val="28"/>
    </w:rPr>
  </w:style>
  <w:style w:type="paragraph" w:styleId="Heading2">
    <w:name w:val="heading 2"/>
    <w:basedOn w:val="Normal"/>
    <w:next w:val="Normal"/>
    <w:link w:val="Heading2Char"/>
    <w:autoRedefine/>
    <w:uiPriority w:val="9"/>
    <w:unhideWhenUsed/>
    <w:qFormat/>
    <w:rsid w:val="00306653"/>
    <w:pPr>
      <w:keepNext/>
      <w:keepLines/>
      <w:spacing w:before="140" w:after="60" w:line="252" w:lineRule="auto"/>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rsid w:val="0030665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link w:val="Style1Char"/>
    <w:autoRedefine/>
    <w:qFormat/>
    <w:rsid w:val="00465A55"/>
    <w:rPr>
      <w:b w:val="0"/>
      <w:bCs w:val="0"/>
      <w:color w:val="7B7B7B" w:themeColor="accent3" w:themeShade="BF"/>
    </w:rPr>
  </w:style>
  <w:style w:type="character" w:customStyle="1" w:styleId="Style1Char">
    <w:name w:val="Style1 Char"/>
    <w:basedOn w:val="Heading1Char"/>
    <w:link w:val="Style1"/>
    <w:rsid w:val="00465A55"/>
    <w:rPr>
      <w:rFonts w:asciiTheme="majorHAnsi" w:eastAsiaTheme="majorEastAsia" w:hAnsiTheme="majorHAnsi" w:cstheme="majorBidi"/>
      <w:b w:val="0"/>
      <w:bCs w:val="0"/>
      <w:color w:val="7B7B7B" w:themeColor="accent3" w:themeShade="BF"/>
      <w:sz w:val="28"/>
      <w:szCs w:val="28"/>
    </w:rPr>
  </w:style>
  <w:style w:type="character" w:customStyle="1" w:styleId="Heading1Char">
    <w:name w:val="Heading 1 Char"/>
    <w:basedOn w:val="DefaultParagraphFont"/>
    <w:link w:val="Heading1"/>
    <w:uiPriority w:val="9"/>
    <w:rsid w:val="00306653"/>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306653"/>
    <w:rPr>
      <w:rFonts w:ascii="Times New Roman" w:eastAsiaTheme="majorEastAsia" w:hAnsi="Times New Roman" w:cs="Times New Roman"/>
      <w:b/>
      <w:bCs/>
      <w:sz w:val="24"/>
      <w:szCs w:val="24"/>
    </w:rPr>
  </w:style>
  <w:style w:type="character" w:customStyle="1" w:styleId="Heading3Char">
    <w:name w:val="Heading 3 Char"/>
    <w:basedOn w:val="DefaultParagraphFont"/>
    <w:link w:val="Heading3"/>
    <w:uiPriority w:val="9"/>
    <w:rsid w:val="00306653"/>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306653"/>
    <w:rPr>
      <w:color w:val="0563C1" w:themeColor="hyperlink"/>
      <w:u w:val="single"/>
    </w:rPr>
  </w:style>
  <w:style w:type="character" w:styleId="UnresolvedMention">
    <w:name w:val="Unresolved Mention"/>
    <w:basedOn w:val="DefaultParagraphFont"/>
    <w:uiPriority w:val="99"/>
    <w:semiHidden/>
    <w:unhideWhenUsed/>
    <w:rsid w:val="00306653"/>
    <w:rPr>
      <w:color w:val="605E5C"/>
      <w:shd w:val="clear" w:color="auto" w:fill="E1DFDD"/>
    </w:rPr>
  </w:style>
  <w:style w:type="character" w:styleId="FollowedHyperlink">
    <w:name w:val="FollowedHyperlink"/>
    <w:basedOn w:val="DefaultParagraphFont"/>
    <w:uiPriority w:val="99"/>
    <w:semiHidden/>
    <w:unhideWhenUsed/>
    <w:rsid w:val="00EA1944"/>
    <w:rPr>
      <w:color w:val="954F72" w:themeColor="followedHyperlink"/>
      <w:u w:val="single"/>
    </w:rPr>
  </w:style>
  <w:style w:type="paragraph" w:styleId="Header">
    <w:name w:val="header"/>
    <w:basedOn w:val="Normal"/>
    <w:link w:val="HeaderChar"/>
    <w:uiPriority w:val="99"/>
    <w:unhideWhenUsed/>
    <w:rsid w:val="00AB0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458"/>
  </w:style>
  <w:style w:type="paragraph" w:styleId="Footer">
    <w:name w:val="footer"/>
    <w:basedOn w:val="Normal"/>
    <w:link w:val="FooterChar"/>
    <w:uiPriority w:val="99"/>
    <w:unhideWhenUsed/>
    <w:rsid w:val="00AB0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458"/>
  </w:style>
  <w:style w:type="paragraph" w:styleId="NormalWeb">
    <w:name w:val="Normal (Web)"/>
    <w:basedOn w:val="Normal"/>
    <w:uiPriority w:val="99"/>
    <w:semiHidden/>
    <w:unhideWhenUsed/>
    <w:rsid w:val="00F6475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647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3866">
      <w:bodyDiv w:val="1"/>
      <w:marLeft w:val="0"/>
      <w:marRight w:val="0"/>
      <w:marTop w:val="0"/>
      <w:marBottom w:val="0"/>
      <w:divBdr>
        <w:top w:val="none" w:sz="0" w:space="0" w:color="auto"/>
        <w:left w:val="none" w:sz="0" w:space="0" w:color="auto"/>
        <w:bottom w:val="none" w:sz="0" w:space="0" w:color="auto"/>
        <w:right w:val="none" w:sz="0" w:space="0" w:color="auto"/>
      </w:divBdr>
    </w:div>
    <w:div w:id="195062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ntalhealthtaskforce@gmail.com" TargetMode="External"/><Relationship Id="rId13" Type="http://schemas.openxmlformats.org/officeDocument/2006/relationships/hyperlink" Target="https://www.downstate.edu/education-training/school-of-health-professions/programs/occupational-therapy/community-engagement/nami.html"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doi.org/10.1080/0164212X.2021.194410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26681/jote.2019.030407" TargetMode="External"/><Relationship Id="rId5" Type="http://schemas.openxmlformats.org/officeDocument/2006/relationships/endnotes" Target="endnotes.xml"/><Relationship Id="rId15" Type="http://schemas.openxmlformats.org/officeDocument/2006/relationships/hyperlink" Target="https://doi.org/10.5014/ajot.2021.044727" TargetMode="External"/><Relationship Id="rId10" Type="http://schemas.openxmlformats.org/officeDocument/2006/relationships/hyperlink" Target="https://mentalhealth.cityofnewyork.us/workforce-career-roadmap" TargetMode="External"/><Relationship Id="rId4" Type="http://schemas.openxmlformats.org/officeDocument/2006/relationships/footnotes" Target="footnotes.xml"/><Relationship Id="rId9" Type="http://schemas.openxmlformats.org/officeDocument/2006/relationships/hyperlink" Target="https://www.nysota.org/news/news.asp?id=700760" TargetMode="External"/><Relationship Id="rId14" Type="http://schemas.openxmlformats.org/officeDocument/2006/relationships/hyperlink" Target="https://doi.org/10.1176/ps.2007.58.5.7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2853</Words>
  <Characters>16266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Binghamton University</Company>
  <LinksUpToDate>false</LinksUpToDate>
  <CharactersWithSpaces>19081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Dumitrescu</dc:creator>
  <cp:keywords/>
  <dc:description/>
  <cp:lastModifiedBy>Cristina Dumitrescu</cp:lastModifiedBy>
  <cp:revision>2</cp:revision>
  <dcterms:created xsi:type="dcterms:W3CDTF">2026-10-19T21:48:00Z</dcterms:created>
  <dcterms:modified xsi:type="dcterms:W3CDTF">2026-10-19T21:48:00Z</dcterms:modified>
</cp:coreProperties>
</file>